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عبيد الله الأشعري القمي
</w:t>
      </w:r>
    </w:p>
    <w:p>
      <w:pPr>
        <w:jc w:val="start"/>
        <w:bidi/>
      </w:pPr>
      <w:r>
        <w:rPr>
          <w:rFonts w:ascii="arial" w:hAnsi="arial" w:eastAsia="arial" w:cs="arial"/>
          <w:sz w:val="28"/>
          <w:szCs w:val="28"/>
          <w:b w:val="1"/>
          <w:bCs w:val="1"/>
          <w:rtl/>
        </w:rPr>
        <w:t xml:space="preserve">أحمد بن محمد بن عبيد الله الأشعري القمي
</w:t>
      </w:r>
    </w:p>
    <w:p>
      <w:pPr/>
      <w:r>
        <w:rPr/>
        <w:t xml:space="preserve">أحمد بن محمد بن عبيد الله الأشعري القمي قال النجاشي: أحمد بن محمد بن عبيد الله الأشعري شيخ من أصحابنا ثقة روى عن أبي الحسن الثالث عليه السلام وابنه عبيد الله بن أحمد روى عنه محمد بن علي بن محبوب له كتاب نوادر أخبرنا أبو عبد الله بن شاذان حدثنا أحمد بن محمد بن يحيى حدثنا أبي وأحمد بن إدريس حدثنا محمد بن علي بن محبوب عن عبيد الله بن أحمد عن أبيه وذكره الشيخ في رجال الجواد عليه السلام لكنه قال: الأشعري القمي، والنجاشي اقتصر على الأشعري، وفي مشتركات الكاظمي: يعرف أحمد بن محمد بن عبيد الله الأشعري الثقة برواية ابنه عبيد الله عنه. </w:t>
      </w:r>
    </w:p>
    <w:p>
      <w:pPr>
        <w:jc w:val="start"/>
        <w:bidi/>
      </w:pPr>
      <w:r>
        <w:rPr>
          <w:sz w:val="24"/>
          <w:szCs w:val="24"/>
          <w:b w:val="1"/>
          <w:bCs w:val="1"/>
          <w:rtl/>
        </w:rPr>
        <w:t xml:space="preserve">
أعيان الشيعة،(دار التعارف للمطبوعات - بيروت،1983،ط 1،ج 3،ص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2026-07-11T05:15:04+03:00</dcterms:created>
  <dcterms:modified xsi:type="dcterms:W3CDTF">2026-07-11T05:15:04+03:00</dcterms:modified>
</cp:coreProperties>
</file>

<file path=docProps/custom.xml><?xml version="1.0" encoding="utf-8"?>
<Properties xmlns="http://schemas.openxmlformats.org/officeDocument/2006/custom-properties" xmlns:vt="http://schemas.openxmlformats.org/officeDocument/2006/docPropsVTypes"/>
</file>