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علي بن ضياء
</w:t>
      </w:r>
    </w:p>
    <w:p>
      <w:pPr>
        <w:jc w:val="start"/>
        <w:bidi/>
      </w:pPr>
      <w:r>
        <w:rPr>
          <w:rFonts w:ascii="arial" w:hAnsi="arial" w:eastAsia="arial" w:cs="arial"/>
          <w:sz w:val="28"/>
          <w:szCs w:val="28"/>
          <w:b w:val="1"/>
          <w:bCs w:val="1"/>
          <w:rtl/>
        </w:rPr>
        <w:t xml:space="preserve">أحمد بن محمد بن أحمد بن علي بن ضياء
</w:t>
      </w:r>
    </w:p>
    <w:p>
      <w:pPr/>
      <w:r>
        <w:rPr/>
        <w:t xml:space="preserve">أحمد بن محمد بن أحمد بن علي بن ضياء مات سنة 494 عن ابن السمعاني. في لسان الميزان روى عن ابن الطيوري قال ابن ناصر كان رافضيا وقال ابن النجار لم يكن عنده معرفة. </w:t>
      </w:r>
    </w:p>
    <w:p>
      <w:pPr>
        <w:jc w:val="start"/>
        <w:bidi/>
      </w:pPr>
      <w:r>
        <w:rPr>
          <w:sz w:val="24"/>
          <w:szCs w:val="24"/>
          <w:b w:val="1"/>
          <w:bCs w:val="1"/>
          <w:rtl/>
        </w:rPr>
        <w:t xml:space="preserve">
أعيان الشيعة،(دار التعارف للمطبوعات - بيروت،1983،ط 1،ج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2026-07-11T02:56:57+03:00</dcterms:created>
  <dcterms:modified xsi:type="dcterms:W3CDTF">2026-07-11T02:56:57+03:00</dcterms:modified>
</cp:coreProperties>
</file>

<file path=docProps/custom.xml><?xml version="1.0" encoding="utf-8"?>
<Properties xmlns="http://schemas.openxmlformats.org/officeDocument/2006/custom-properties" xmlns:vt="http://schemas.openxmlformats.org/officeDocument/2006/docPropsVTypes"/>
</file>