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 حزنة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 حزنة
</w:t>
      </w:r>
    </w:p>
    <w:p>
      <w:pPr/>
      <w:r>
        <w:rPr/>
        <w:t xml:space="preserve">ابن أم حزنة  ثعلبة بن عمرو العبدي، من سليمة من عبد القيس: شاعر جاهلي يقال له ابن أم حزنة. أورد له المفضل بائية أولها:</w:t>
      </w:r>
    </w:p>
    <w:p/>
    <w:p>
      <w:pPr>
        <w:jc w:val="center"/>
      </w:pPr>
      <w:r>
        <w:rPr>
          <w:color w:val="ff0000"/>
        </w:rPr>
        <w:t xml:space="preserve">سماء لم تسألي عن أبيك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القوم قد كان فيهم خطوب</w:t>
      </w:r>
    </w:p>
    <w:p/>
    <w:p>
      <w:pPr/>
      <w:r>
        <w:rPr/>
        <w:t xml:space="preserve">وقصيدة على روي الفاء خمسة عشر بيتا، منها قوله: (شاهدا على المصادفة): ومطرد يرضيك عند ذواقه، ويمضي ولا ينآد فيما يصادف.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2026-07-06T12:53:34+03:00</dcterms:created>
  <dcterms:modified xsi:type="dcterms:W3CDTF">2026-07-06T12:53:34+03:00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