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أحمد بن عبد اللطيف القزويني
</w:t>
      </w:r>
    </w:p>
    <w:p>
      <w:pPr>
        <w:jc w:val="start"/>
        <w:bidi/>
      </w:pPr>
      <w:r>
        <w:rPr>
          <w:rFonts w:ascii="arial" w:hAnsi="arial" w:eastAsia="arial" w:cs="arial"/>
          <w:sz w:val="28"/>
          <w:szCs w:val="28"/>
          <w:b w:val="1"/>
          <w:bCs w:val="1"/>
          <w:rtl/>
        </w:rPr>
        <w:t xml:space="preserve">الأمير أحمد بن عبد اللطيف القزويني
</w:t>
      </w:r>
    </w:p>
    <w:p>
      <w:pPr/>
      <w:r>
        <w:rPr/>
        <w:t xml:space="preserve">الأمير أحمد بن عبد اللطيف القزويني كان معاصرا للشاه إسماعيل الصفوي الذي توفي سنة 930 له جهان آرا تاريخ فارسي موجود في مكتبة ويانا بالنمسا ولأخيه الأمير يحيى بن عبد اللطيف لب التواريخ ألفه سنة 948 في المكتبة المذكورة. </w:t>
      </w:r>
    </w:p>
    <w:p>
      <w:pPr>
        <w:jc w:val="start"/>
        <w:bidi/>
      </w:pPr>
      <w:r>
        <w:rPr>
          <w:sz w:val="24"/>
          <w:szCs w:val="24"/>
          <w:b w:val="1"/>
          <w:bCs w:val="1"/>
          <w:rtl/>
        </w:rPr>
        <w:t xml:space="preserve">
أعيان الشيعة،(دار التعارف للمطبوعات - بيروت،1983،ط 1،ج 3،ص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2026-07-10T15:57:11+03:00</dcterms:created>
  <dcterms:modified xsi:type="dcterms:W3CDTF">2026-07-10T15:57:11+03:00</dcterms:modified>
</cp:coreProperties>
</file>

<file path=docProps/custom.xml><?xml version="1.0" encoding="utf-8"?>
<Properties xmlns="http://schemas.openxmlformats.org/officeDocument/2006/custom-properties" xmlns:vt="http://schemas.openxmlformats.org/officeDocument/2006/docPropsVTypes"/>
</file>