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الرحيم أبو جعفر الجرجاني
</w:t>
      </w:r>
    </w:p>
    <w:p>
      <w:pPr>
        <w:jc w:val="start"/>
        <w:bidi/>
      </w:pPr>
      <w:r>
        <w:rPr>
          <w:rFonts w:ascii="arial" w:hAnsi="arial" w:eastAsia="arial" w:cs="arial"/>
          <w:sz w:val="28"/>
          <w:szCs w:val="28"/>
          <w:b w:val="1"/>
          <w:bCs w:val="1"/>
          <w:rtl/>
        </w:rPr>
        <w:t xml:space="preserve">أحمد بن عبد الرحيم أبو جعفر الجرجاني
</w:t>
      </w:r>
    </w:p>
    <w:p>
      <w:pPr/>
      <w:r>
        <w:rPr/>
        <w:t xml:space="preserve">أحمد بن عبد الرحيم أبو جعفر الجرجاني ذكره في ميزان الاعتدال فقال: أحمد بن عبد الرحيم عن جرير بن عبد الحميد وجدت عنه في حدود سنة 300 بقلة حياء سمع منه ابن عدي حديثا كذبا وقال يحدث عمن لم يدركهم بل ماتوا قبله بدهر وفي لسان الميزان: متن الحديث المذكور أن الله طهر قوما الصلفة من الذنوب وان عليا لأولهم ورجاله ثقات غيره قال ابن عدي هذا حديث باطل ولذلك يظن تشيعه وتكذيب الذهبي هذا الحديث وحكم ابن عدي ببطلانه ليس إلا لتضمنه فضل علي عليه السلام الذي لا تحتمله نفوسهم مع اعتراف ابن حجر بان رجاله ثقات سواه. </w:t>
      </w:r>
    </w:p>
    <w:p>
      <w:pPr>
        <w:jc w:val="start"/>
        <w:bidi/>
      </w:pPr>
      <w:r>
        <w:rPr>
          <w:sz w:val="24"/>
          <w:szCs w:val="24"/>
          <w:b w:val="1"/>
          <w:bCs w:val="1"/>
          <w:rtl/>
        </w:rPr>
        <w:t xml:space="preserve">
أعيان الشيعة،(دار التعارف للمطبوعات - بيروت،1983،ط 1،ج 2،ص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2026-07-10T14:54:54+03:00</dcterms:created>
  <dcterms:modified xsi:type="dcterms:W3CDTF">2026-07-10T14:54:54+03:00</dcterms:modified>
</cp:coreProperties>
</file>

<file path=docProps/custom.xml><?xml version="1.0" encoding="utf-8"?>
<Properties xmlns="http://schemas.openxmlformats.org/officeDocument/2006/custom-properties" xmlns:vt="http://schemas.openxmlformats.org/officeDocument/2006/docPropsVTypes"/>
</file>