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أحمد بن شعيب يكنى أبا عبد الرحمن
</w:t>
      </w:r>
    </w:p>
    <w:p>
      <w:pPr>
        <w:jc w:val="start"/>
        <w:bidi/>
      </w:pPr>
      <w:r>
        <w:rPr>
          <w:rFonts w:ascii="arial" w:hAnsi="arial" w:eastAsia="arial" w:cs="arial"/>
          <w:sz w:val="28"/>
          <w:szCs w:val="28"/>
          <w:b w:val="1"/>
          <w:bCs w:val="1"/>
          <w:rtl/>
        </w:rPr>
        <w:t xml:space="preserve">أحمد بن شعيب يكنى أبا عبد الرحمن
</w:t>
      </w:r>
    </w:p>
    <w:p>
      <w:pPr/>
      <w:r>
        <w:rPr/>
        <w:t xml:space="preserve">أحمد بن شعيب يكنى أبا عبد الرحمن له كتاب العشرة كذا في الفهرست للشيخ الطوسي وفي المعالم أحمد بن شعيب أبو عبد الرحمن له العشرة (أه) وقد يحتمل من موافقته للنسائي الآتي في الإسم واسم الأب والكنية اتحاده معه لكن الظاهر أنه غيره. </w:t>
      </w:r>
    </w:p>
    <w:p>
      <w:pPr>
        <w:jc w:val="start"/>
        <w:bidi/>
      </w:pPr>
      <w:r>
        <w:rPr>
          <w:sz w:val="24"/>
          <w:szCs w:val="24"/>
          <w:b w:val="1"/>
          <w:bCs w:val="1"/>
          <w:rtl/>
        </w:rPr>
        <w:t xml:space="preserve">
أعيان الشيعة،(دار التعارف للمطبوعات - بيروت،1983،ط 1،ج 2،ص 601)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2026-07-10T13:50:44+03:00</dcterms:created>
  <dcterms:modified xsi:type="dcterms:W3CDTF">2026-07-10T13:50:44+03:00</dcterms:modified>
</cp:coreProperties>
</file>

<file path=docProps/custom.xml><?xml version="1.0" encoding="utf-8"?>
<Properties xmlns="http://schemas.openxmlformats.org/officeDocument/2006/custom-properties" xmlns:vt="http://schemas.openxmlformats.org/officeDocument/2006/docPropsVTypes"/>
</file>