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زياد الخزاز
</w:t>
      </w:r>
    </w:p>
    <w:p>
      <w:pPr>
        <w:jc w:val="start"/>
        <w:bidi/>
      </w:pPr>
      <w:r>
        <w:rPr>
          <w:rFonts w:ascii="arial" w:hAnsi="arial" w:eastAsia="arial" w:cs="arial"/>
          <w:sz w:val="28"/>
          <w:szCs w:val="28"/>
          <w:b w:val="1"/>
          <w:bCs w:val="1"/>
          <w:rtl/>
        </w:rPr>
        <w:t xml:space="preserve">أحمد بن زياد الخزاز
</w:t>
      </w:r>
    </w:p>
    <w:p>
      <w:pPr/>
      <w:r>
        <w:rPr/>
        <w:t xml:space="preserve">أحمد بن زياد الخزاز ذكره الشيخ في رجاله في أصحاب الكاظم عليه السلام وقال واقفي وفي مستدركات الوسائل يروي عنه أحمد ابن محمد ابن أبي نصر في الكافي في باب من أوصى بعتق أو صدقة وفي الفقيه في باب الوصية بالعتق والصدقة وفي التهذيب في باب وصية الإنسان بعده وفي الاستبصار في أن حكم المملوك حكم الحر فيما ذكر من أبواب الطلاق ’’أه’’ وفي مشتركات الكاظمي أحمد بن زياد مشترك بين رجلين أحدهما ثقة وهو ابن جعفر الهمذاني والثاني ابن زياد الخزاز الواقفي الذي يذكر في أصحاب الكاظم عليه السلام وكل منهما لم يعثر له بأصل يروى وحيث لا تميز فالوقف. </w:t>
      </w:r>
    </w:p>
    <w:p>
      <w:pPr>
        <w:jc w:val="start"/>
        <w:bidi/>
      </w:pPr>
      <w:r>
        <w:rPr>
          <w:sz w:val="24"/>
          <w:szCs w:val="24"/>
          <w:b w:val="1"/>
          <w:bCs w:val="1"/>
          <w:rtl/>
        </w:rPr>
        <w:t xml:space="preserve">
أعيان الشيعة،(دار التعارف للمطبوعات - بيروت،1983،ط 1،ج 2،ص 589)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2026-07-10T12:50:21+03:00</dcterms:created>
  <dcterms:modified xsi:type="dcterms:W3CDTF">2026-07-10T12:50:21+03:00</dcterms:modified>
</cp:coreProperties>
</file>

<file path=docProps/custom.xml><?xml version="1.0" encoding="utf-8"?>
<Properties xmlns="http://schemas.openxmlformats.org/officeDocument/2006/custom-properties" xmlns:vt="http://schemas.openxmlformats.org/officeDocument/2006/docPropsVTypes"/>
</file>