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يحيى 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يحيى المغربي
</w:t>
      </w:r>
    </w:p>
    <w:p>
      <w:pPr/>
      <w:r>
        <w:rPr/>
        <w:t xml:space="preserve">أبو يحيى المغربي أورد له ابن شهراشوب في المناقب قوله:</w:t>
      </w:r>
    </w:p>
    <w:p/>
    <w:p>
      <w:pPr>
        <w:jc w:val="center"/>
      </w:pPr>
      <w:r>
        <w:rPr>
          <w:color w:val="ff0000"/>
        </w:rPr>
        <w:t xml:space="preserve">يا راكب الشهباء تعمل تحته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سلم على قبر بسامراء</w:t>
      </w:r>
    </w:p>
    <w:p/>
    <w:p>
      <w:pPr>
        <w:jc w:val="center"/>
      </w:pPr>
      <w:r>
        <w:rPr>
          <w:color w:val="ff0000"/>
        </w:rPr>
        <w:t xml:space="preserve">قبر الإمام العسكري وابنه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وسمي أحمد خاتم الخلفاء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2026-07-08T21:17:19+03:00</dcterms:created>
  <dcterms:modified xsi:type="dcterms:W3CDTF">2026-07-08T21:17:19+03:00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