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يحيى المرادي
</w:t>
      </w:r>
    </w:p>
    <w:p>
      <w:pPr>
        <w:jc w:val="start"/>
        <w:bidi/>
      </w:pPr>
      <w:r>
        <w:rPr>
          <w:rFonts w:ascii="arial" w:hAnsi="arial" w:eastAsia="arial" w:cs="arial"/>
          <w:sz w:val="28"/>
          <w:szCs w:val="28"/>
          <w:b w:val="1"/>
          <w:bCs w:val="1"/>
          <w:rtl/>
        </w:rPr>
        <w:t xml:space="preserve">أبو يحيى المرادي
</w:t>
      </w:r>
    </w:p>
    <w:p>
      <w:pPr/>
      <w:r>
        <w:rPr/>
        <w:t xml:space="preserve">أبو يحيى المرادي كنية أبي بصير ليث المرادي كما يفهم من فهرست ابن النديم نقلا عن محمد بن إسحاق فقيه قال محمد بن إسحاق هؤلاء مشائخ الشيعة الذين رووا الفقه عن الأئمة ذكرتهم على غير ترتيب فمنهم إلى أ، قال كتاب أبي يحيى ليث المرادي وقال الشيخ في رجال الصادق عليه السلام ليث ابن البختري المرادي أبو يحيى ويكنى أبا بصير. </w:t>
      </w:r>
    </w:p>
    <w:p>
      <w:pPr>
        <w:jc w:val="start"/>
        <w:bidi/>
      </w:pPr>
      <w:r>
        <w:rPr>
          <w:sz w:val="24"/>
          <w:szCs w:val="24"/>
          <w:b w:val="1"/>
          <w:bCs w:val="1"/>
          <w:rtl/>
        </w:rPr>
        <w:t xml:space="preserve">
أعيان الشيعة،(دار التعارف للمطبوعات - بيروت،1983،ط 1،ج 2،ص 445)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2026-07-08T21:08:15+03:00</dcterms:created>
  <dcterms:modified xsi:type="dcterms:W3CDTF">2026-07-08T21:08:15+03:00</dcterms:modified>
</cp:coreProperties>
</file>

<file path=docProps/custom.xml><?xml version="1.0" encoding="utf-8"?>
<Properties xmlns="http://schemas.openxmlformats.org/officeDocument/2006/custom-properties" xmlns:vt="http://schemas.openxmlformats.org/officeDocument/2006/docPropsVTypes"/>
</file>