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نعيم الهمذاني
</w:t>
      </w:r>
    </w:p>
    <w:p>
      <w:pPr>
        <w:jc w:val="start"/>
        <w:bidi/>
      </w:pPr>
      <w:r>
        <w:rPr>
          <w:rFonts w:ascii="arial" w:hAnsi="arial" w:eastAsia="arial" w:cs="arial"/>
          <w:sz w:val="28"/>
          <w:szCs w:val="28"/>
          <w:b w:val="1"/>
          <w:bCs w:val="1"/>
          <w:rtl/>
        </w:rPr>
        <w:t xml:space="preserve">أبو نعيم الهمذاني
</w:t>
      </w:r>
    </w:p>
    <w:p>
      <w:pPr/>
      <w:r>
        <w:rPr/>
        <w:t xml:space="preserve">أبو نعيم الهمذاني اسمه محمد بن أحمد بن محمد بن سعيد بن عقدة الهمذاني وأبو ابن عقدة الزيدي الحافظ المشهور صاحب الرجال. وفي رجال أبي علي: أبو نعيم الهمذاني محمد بن أحمد بن محمد بن سعيد. في التعليقة عن النقد يأتي أبو نعيم لابن عقدة وليس كذلك بل لابن ابنه محمد هذا وابن عقدة أحمد كما تقدم ’’أه’’. والذي في النقد أن أبا نعيم كنية محمد بن أحمد بن سعيد وهو بن الحافظ بن عقدة المشهور وصاحب التعليقة وإن حكا عن النقد أن أبا نعيم كنية ابن عقدة لكنه يجوز أن يريد به الإبن محمدا لأنه يقال له ابن عقدة أيضا لا الأب أحمد. </w:t>
      </w:r>
    </w:p>
    <w:p>
      <w:pPr>
        <w:jc w:val="start"/>
        <w:bidi/>
      </w:pPr>
      <w:r>
        <w:rPr>
          <w:sz w:val="24"/>
          <w:szCs w:val="24"/>
          <w:b w:val="1"/>
          <w:bCs w:val="1"/>
          <w:rtl/>
        </w:rPr>
        <w:t xml:space="preserve">
أعيان الشيعة،(دار التعارف للمطبوعات - بيروت،1983،ط 1،ج 2،ص 439)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2026-07-09T19:54:21+03:00</dcterms:created>
  <dcterms:modified xsi:type="dcterms:W3CDTF">2026-07-09T19:54:21+03:00</dcterms:modified>
</cp:coreProperties>
</file>

<file path=docProps/custom.xml><?xml version="1.0" encoding="utf-8"?>
<Properties xmlns="http://schemas.openxmlformats.org/officeDocument/2006/custom-properties" xmlns:vt="http://schemas.openxmlformats.org/officeDocument/2006/docPropsVTypes"/>
</file>