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النوبختي
</w:t>
      </w:r>
    </w:p>
    <w:p>
      <w:pPr>
        <w:jc w:val="start"/>
        <w:bidi/>
      </w:pPr>
      <w:r>
        <w:rPr>
          <w:rFonts w:ascii="arial" w:hAnsi="arial" w:eastAsia="arial" w:cs="arial"/>
          <w:sz w:val="28"/>
          <w:szCs w:val="28"/>
          <w:b w:val="1"/>
          <w:bCs w:val="1"/>
          <w:rtl/>
        </w:rPr>
        <w:t xml:space="preserve">أبو محمد النوبختي
</w:t>
      </w:r>
    </w:p>
    <w:p>
      <w:pPr/>
      <w:r>
        <w:rPr/>
        <w:t xml:space="preserve">أبو محمد النوبختي اسمه الحسن بن يحيى.</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يحيى النوبختي
</w:t>
      </w:r>
    </w:p>
    <w:p>
      <w:pPr/>
      <w:r>
        <w:rPr/>
        <w:t xml:space="preserve">أبو محمد الحسن بن يحيى النوبختي ذكره الخطيب في تاريخ بغداد في أثناء ترجمة إسحاق بن محمد بن أحمد النخعي فقال: وقع إلي كتاب لأبي محمد الحسن بن يحيى النوبختي من تصنيفه في الرد على الغلاة وكان النوبختي هذا من متكلمي الشيعة الإمامية فذكر أصناف مقالات الغلاة إلى أن قال وكان ممن جود الجنون في الغلو في عصرنا إسحاق بن محمد المعروف بالأحمر (إلى أن قال) وعمل كتابا ذكر أنه كتاب التوحيد فجاء فيه بجنون وتخليط لا يتوهمان فضلا عن أن يدل عليهما ’’انتهى’’.</w:t>
      </w:r>
    </w:p>
    <w:p>
      <w:pPr>
        <w:jc w:val="start"/>
        <w:bidi/>
      </w:pPr>
      <w:r>
        <w:rPr>
          <w:sz w:val="24"/>
          <w:szCs w:val="24"/>
          <w:b w:val="1"/>
          <w:bCs w:val="1"/>
          <w:rtl/>
        </w:rPr>
        <w:t xml:space="preserve">
أعيان الشيعة،(دار التعارف للمطبوعات - بيروت،1983،ط 1،ج 5،ص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2026-07-08T13:39:16+03:00</dcterms:created>
  <dcterms:modified xsi:type="dcterms:W3CDTF">2026-07-08T13:39:16+03:00</dcterms:modified>
</cp:coreProperties>
</file>

<file path=docProps/custom.xml><?xml version="1.0" encoding="utf-8"?>
<Properties xmlns="http://schemas.openxmlformats.org/officeDocument/2006/custom-properties" xmlns:vt="http://schemas.openxmlformats.org/officeDocument/2006/docPropsVTypes"/>
</file>