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القاسم الدهكردي نزيل أصفهان
</w:t>
      </w:r>
    </w:p>
    <w:p>
      <w:pPr>
        <w:jc w:val="start"/>
        <w:bidi/>
      </w:pPr>
      <w:r>
        <w:rPr>
          <w:rFonts w:ascii="arial" w:hAnsi="arial" w:eastAsia="arial" w:cs="arial"/>
          <w:sz w:val="28"/>
          <w:szCs w:val="28"/>
          <w:b w:val="1"/>
          <w:bCs w:val="1"/>
          <w:rtl/>
        </w:rPr>
        <w:t xml:space="preserve">السيد أبو القاسم الدهكردي نزيل أصفهان
</w:t>
      </w:r>
    </w:p>
    <w:p>
      <w:pPr/>
      <w:r>
        <w:rPr/>
        <w:t xml:space="preserve">السيد أبو القاسم الدهكردي نزيل أصفهان توفي في شوال سنة 1353.</w:t>
      </w:r>
    </w:p>
    <w:p/>
    <w:p>
      <w:pPr/>
      <w:r>
        <w:rPr/>
        <w:t xml:space="preserve">كان عالما جامعا عارفا مرجعا في الشرعيات له تآليف منها: (1) الوسيلة في السير والسلوك. (2) حاشية على متاجر الشيخ مرتضى الأنصاري. يروي عن الشيخ زين العابدين المازندراني الحائري والميرزا حسين النوري والميرزا حسن النجفي. ويروي عنه جماعة منهم السيد شهاب الدين الحسني النجفي المرعشي النسابة المعاصر نزيل قم وهو الذي أرسل إلينا هذه الترجمة وما قبلها.</w:t>
      </w:r>
    </w:p>
    <w:p>
      <w:pPr>
        <w:jc w:val="start"/>
        <w:bidi/>
      </w:pPr>
      <w:r>
        <w:rPr>
          <w:sz w:val="24"/>
          <w:szCs w:val="24"/>
          <w:b w:val="1"/>
          <w:bCs w:val="1"/>
          <w:rtl/>
        </w:rPr>
        <w:t xml:space="preserve">
أعيان الشيعة،(دار التعارف للمطبوعات - بيروت،1983،ط 1،ج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2026-07-07T02:16:55+03:00</dcterms:created>
  <dcterms:modified xsi:type="dcterms:W3CDTF">2026-07-07T02:16:55+03:00</dcterms:modified>
</cp:coreProperties>
</file>

<file path=docProps/custom.xml><?xml version="1.0" encoding="utf-8"?>
<Properties xmlns="http://schemas.openxmlformats.org/officeDocument/2006/custom-properties" xmlns:vt="http://schemas.openxmlformats.org/officeDocument/2006/docPropsVTypes"/>
</file>