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محمد التنوخي
</w:t>
      </w:r>
    </w:p>
    <w:p>
      <w:pPr>
        <w:jc w:val="start"/>
        <w:bidi/>
      </w:pPr>
      <w:r>
        <w:rPr>
          <w:rFonts w:ascii="arial" w:hAnsi="arial" w:eastAsia="arial" w:cs="arial"/>
          <w:sz w:val="28"/>
          <w:szCs w:val="28"/>
          <w:b w:val="1"/>
          <w:bCs w:val="1"/>
          <w:rtl/>
        </w:rPr>
        <w:t xml:space="preserve">أبو القاسم بن محمد التنوخي
</w:t>
      </w:r>
    </w:p>
    <w:p>
      <w:pPr/>
      <w:r>
        <w:rPr/>
        <w:t xml:space="preserve">أبو القاسم بن محمد التنوخي في الرياض اسمه علي بن القاضي أبي على المحسن صاحب كتاب الفرج بعد الشدة ابن القاضي أبي القاسم علي بن محمد بن أبي الفهم داود بن إبراهيم بن تميم القحطاني التنوخي ويعرف بالقاضي التنوخي والانتساب إلى الجد الأعلى شائع ويحتمل أن يكون المراد منه جده أعني القاضي أبو القاسم علي بن محمد وهو أقرب لفظا والأول أقرب معنى لأن سبطه مجزوم بتشيعه بخلاف جده وفي موضع آخر من الرياض وقد يطلق على جده القاضي أبي القاسم علي بن محمد ’’اه’’.</w:t>
      </w:r>
    </w:p>
    <w:p>
      <w:pPr>
        <w:jc w:val="start"/>
        <w:bidi/>
      </w:pPr>
      <w:r>
        <w:rPr>
          <w:sz w:val="24"/>
          <w:szCs w:val="24"/>
          <w:b w:val="1"/>
          <w:bCs w:val="1"/>
          <w:rtl/>
        </w:rPr>
        <w:t xml:space="preserve">
أعيان الشيعة،(دار التعارف للمطبوعات - بيروت،1983،ط 1،ج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2026-07-07T02:09:05+03:00</dcterms:created>
  <dcterms:modified xsi:type="dcterms:W3CDTF">2026-07-07T02:09:05+03:00</dcterms:modified>
</cp:coreProperties>
</file>

<file path=docProps/custom.xml><?xml version="1.0" encoding="utf-8"?>
<Properties xmlns="http://schemas.openxmlformats.org/officeDocument/2006/custom-properties" xmlns:vt="http://schemas.openxmlformats.org/officeDocument/2006/docPropsVTypes"/>
</file>