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القاسم بن المولى محمد تقي الشهيد البرقاني
</w:t>
      </w:r>
    </w:p>
    <w:p>
      <w:pPr>
        <w:jc w:val="start"/>
        <w:bidi/>
      </w:pPr>
      <w:r>
        <w:rPr>
          <w:rFonts w:ascii="arial" w:hAnsi="arial" w:eastAsia="arial" w:cs="arial"/>
          <w:sz w:val="28"/>
          <w:szCs w:val="28"/>
          <w:b w:val="1"/>
          <w:bCs w:val="1"/>
          <w:rtl/>
        </w:rPr>
        <w:t xml:space="preserve">الميرزا أبو القاسم بن المولى محمد تقي الشهيد البرقاني
</w:t>
      </w:r>
    </w:p>
    <w:p>
      <w:pPr/>
      <w:r>
        <w:rPr/>
        <w:t xml:space="preserve">الميرزا أبو القاسم بن المولى محمد تقي الشهيد البرقاني كان المرجع العام في الأحكام في قزوين عالم فاضل جليل كبير نافذ الحكم مروج للعلم والدين في تلك البلاد لم يكن أكبر منه في الرياسة الشرعية له مصنفات وكان في علماء عصر السلطان ناصر الدين شاه القاجاري.</w:t>
      </w:r>
    </w:p>
    <w:p>
      <w:pPr>
        <w:jc w:val="start"/>
        <w:bidi/>
      </w:pPr>
      <w:r>
        <w:rPr>
          <w:sz w:val="24"/>
          <w:szCs w:val="24"/>
          <w:b w:val="1"/>
          <w:bCs w:val="1"/>
          <w:rtl/>
        </w:rPr>
        <w:t xml:space="preserve">
أعيان الشيعة،(دار التعارف للمطبوعات - بيروت،1983،ط 1،ج 2،ص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2026-07-07T02:17:48+03:00</dcterms:created>
  <dcterms:modified xsi:type="dcterms:W3CDTF">2026-07-07T02:17:48+03:00</dcterms:modified>
</cp:coreProperties>
</file>

<file path=docProps/custom.xml><?xml version="1.0" encoding="utf-8"?>
<Properties xmlns="http://schemas.openxmlformats.org/officeDocument/2006/custom-properties" xmlns:vt="http://schemas.openxmlformats.org/officeDocument/2006/docPropsVTypes"/>
</file>