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القاسم بن الملا محمد
</w:t>
      </w:r>
    </w:p>
    <w:p>
      <w:pPr>
        <w:jc w:val="start"/>
        <w:bidi/>
      </w:pPr>
      <w:r>
        <w:rPr>
          <w:rFonts w:ascii="arial" w:hAnsi="arial" w:eastAsia="arial" w:cs="arial"/>
          <w:sz w:val="28"/>
          <w:szCs w:val="28"/>
          <w:b w:val="1"/>
          <w:bCs w:val="1"/>
          <w:rtl/>
        </w:rPr>
        <w:t xml:space="preserve">الميرزا أبو القاسم بن الملا محمد
</w:t>
      </w:r>
    </w:p>
    <w:p>
      <w:pPr/>
      <w:r>
        <w:rPr/>
        <w:t xml:space="preserve">الميرزا أبو القاسم بن الملا محمد ابن الملا أحمد النراقي القاشاني</w:t>
      </w:r>
    </w:p>
    <w:p/>
    <w:p>
      <w:pPr/>
      <w:r>
        <w:rPr/>
        <w:t xml:space="preserve">من بيت جليل قديم في العلم عالما فاضلا فقيها جليلا مرجعا في كاشان مدرسا في الفقه والأول انتهت إليه رياسة آبائه الكرام في تلك البلاد في التدريس وغيره له رسالة في حجية الظنون الخاصة من علماء عصر الشاه ناصر الدين القاجاري.</w:t>
      </w:r>
    </w:p>
    <w:p>
      <w:pPr>
        <w:jc w:val="start"/>
        <w:bidi/>
      </w:pPr>
      <w:r>
        <w:rPr>
          <w:sz w:val="24"/>
          <w:szCs w:val="24"/>
          <w:b w:val="1"/>
          <w:bCs w:val="1"/>
          <w:rtl/>
        </w:rPr>
        <w:t xml:space="preserve">
أعيان الشيعة،(دار التعارف للمطبوعات - بيروت،1983،ط 1،ج 2،ص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2026-07-07T02:16:09+03:00</dcterms:created>
  <dcterms:modified xsi:type="dcterms:W3CDTF">2026-07-07T02:16:09+03:00</dcterms:modified>
</cp:coreProperties>
</file>

<file path=docProps/custom.xml><?xml version="1.0" encoding="utf-8"?>
<Properties xmlns="http://schemas.openxmlformats.org/officeDocument/2006/custom-properties" xmlns:vt="http://schemas.openxmlformats.org/officeDocument/2006/docPropsVTypes"/>
</file>