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الميرزا أبو القاسم ابن الأمير كاظم
</w:t>
      </w:r>
    </w:p>
    <w:p>
      <w:pPr>
        <w:jc w:val="start"/>
        <w:bidi/>
      </w:pPr>
      <w:r>
        <w:rPr>
          <w:rFonts w:ascii="arial" w:hAnsi="arial" w:eastAsia="arial" w:cs="arial"/>
          <w:sz w:val="28"/>
          <w:szCs w:val="28"/>
          <w:b w:val="1"/>
          <w:bCs w:val="1"/>
          <w:rtl/>
        </w:rPr>
        <w:t xml:space="preserve">السيد الميرزا أبو القاسم ابن الأمير كاظم
</w:t>
      </w:r>
    </w:p>
    <w:p>
      <w:pPr/>
      <w:r>
        <w:rPr/>
        <w:t xml:space="preserve">السيد الميرزا أبو القاسم ابن الأمير كاظم ابن الأمير كاظم ابن الأمير محمد حسين ابن الأمير محسن بن سليم بن برهان الدين ابن السيد شاهي الموسوي الزنجاني الكاظم عليه السلام بنيف وعشرين واسطة</w:t>
      </w:r>
    </w:p>
    <w:p/>
    <w:p>
      <w:pPr/>
      <w:r>
        <w:rPr/>
        <w:t xml:space="preserve">ولد سنة 1224 أو 1225 وتوفي بمدينة زنجان يوم الاثنين ثالث جمادي الأول سنة 1292 أو 1293 ودفن في قبة مخصوصة خارج بلدة زنجان.</w:t>
      </w:r>
    </w:p>
    <w:p/>
    <w:p>
      <w:pPr/>
      <w:r>
        <w:rPr/>
        <w:t xml:space="preserve">كان عالما فاضلا جليل القدر رفيع المنزلة وكانت له عين باكية في مصائب أهل البيت عليهم السلام واشتغال بالعبادة تلمذ في العراق على السيد محمد باقر الرشتي الأصبهاني صاحب مطالع الأنوار وعلى الحاج محمد إبراهيم الكلباسي صاحب الإرشادات وعاد إلى زنجان سنة 1253 وحصلت له بها رياسة عظيمة وثروة وافرة وله قضايا معروفة في فتنة البابية بزنجان.</w:t>
      </w:r>
    </w:p>
    <w:p/>
    <w:p>
      <w:pPr/>
      <w:r>
        <w:rPr/>
        <w:t xml:space="preserve">(مؤلفاته)</w:t>
      </w:r>
    </w:p>
    <w:p/>
    <w:p>
      <w:pPr/>
      <w:r>
        <w:rPr/>
        <w:t xml:space="preserve">(1) مقاليد الأبواب. (2) نار الله الموقدة في ذكر المصائب بالفارسية. (3) هداية المتقين في العقائد الأصولية والفروع. (4) حجة الأبرار في إثبات حرمة الخمر في الشرائع السابقة. (5) رسالة في الحبوة مبسوطة. (6) المقاصد المهمات في صيغ العقود والإيقاعات. (7) إيضاح الدلائل في حساب عقد الأنامل. (8) تخريب الباب. (9) رد الباب. (10) سد الباب. (11) قلع الباب. (12) قمع الباب كلها في رد البابية. (13) عصا موسى في جواب شبهات الشيخ عبد الرحيم الكركوكي الذي حلف بالطلاق أنه لا جواب لها. (14) قرة الأبصار في إثبات إمامة الأئمة الأطهار. (15) فصل الخطاب في شرح علماء أمتي أفضل من أنبياء بني إسرائيل.</w:t>
      </w:r>
    </w:p>
    <w:p/>
    <w:p>
      <w:pPr/>
      <w:r>
        <w:rPr/>
        <w:t xml:space="preserve">خلف ثلاثة أولاد الميرزا أبا طالب والميرزا أبا المكارم والميرزا أبا عبد الله.</w:t>
      </w:r>
    </w:p>
    <w:p>
      <w:pPr>
        <w:jc w:val="start"/>
        <w:bidi/>
      </w:pPr>
      <w:r>
        <w:rPr>
          <w:sz w:val="24"/>
          <w:szCs w:val="24"/>
          <w:b w:val="1"/>
          <w:bCs w:val="1"/>
          <w:rtl/>
        </w:rPr>
        <w:t xml:space="preserve">
أعيان الشيعة،(دار التعارف للمطبوعات - بيروت،1983،ط 1،ج 2،ص 409)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2026-07-07T01:17:15+03:00</dcterms:created>
  <dcterms:modified xsi:type="dcterms:W3CDTF">2026-07-07T01:17:15+03:00</dcterms:modified>
</cp:coreProperties>
</file>

<file path=docProps/custom.xml><?xml version="1.0" encoding="utf-8"?>
<Properties xmlns="http://schemas.openxmlformats.org/officeDocument/2006/custom-properties" xmlns:vt="http://schemas.openxmlformats.org/officeDocument/2006/docPropsVTypes"/>
</file>