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الطالقاني
</w:t>
      </w:r>
    </w:p>
    <w:p>
      <w:pPr>
        <w:jc w:val="start"/>
        <w:bidi/>
      </w:pPr>
      <w:r>
        <w:rPr>
          <w:rFonts w:ascii="arial" w:hAnsi="arial" w:eastAsia="arial" w:cs="arial"/>
          <w:sz w:val="28"/>
          <w:szCs w:val="28"/>
          <w:b w:val="1"/>
          <w:bCs w:val="1"/>
          <w:rtl/>
        </w:rPr>
        <w:t xml:space="preserve">أبو القاسم الطالقاني
</w:t>
      </w:r>
    </w:p>
    <w:p>
      <w:pPr/>
      <w:r>
        <w:rPr/>
        <w:t xml:space="preserve">أبو القاسم الطالقاني اسمه حيدر بن شعيب.</w:t>
      </w:r>
    </w:p>
    <w:p>
      <w:pPr>
        <w:jc w:val="start"/>
        <w:bidi/>
      </w:pPr>
      <w:r>
        <w:rPr>
          <w:sz w:val="24"/>
          <w:szCs w:val="24"/>
          <w:b w:val="1"/>
          <w:bCs w:val="1"/>
          <w:rtl/>
        </w:rPr>
        <w:t xml:space="preserve">
أعيان الشيعة،(دار التعارف للمطبوعات - بيروت،1983،ط 1،ج 2،ص 406)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حيدر بن شعيب بن عيسى
</w:t>
      </w:r>
    </w:p>
    <w:p>
      <w:pPr/>
      <w:r>
        <w:rPr/>
        <w:t xml:space="preserve">أبو القاسم حيدر بن شعيب بن عيسى الطالقاني نزيل بغداد</w:t>
      </w:r>
    </w:p>
    <w:p/>
    <w:p>
      <w:pPr/>
      <w:r>
        <w:rPr/>
        <w:t xml:space="preserve">قال النجاشي حيدر بن شعيب له كتاب قال حميد بن زياد: سمعت كتابه من أبي جعفر محمد بن عباس بن عيسى في بني عامر وذكره الشيخ في رجاله فيمن لم يرو عنهم عليهم السلام فقال حيدر بن شعيب بن عيسى الطالقاني خاصي (خاص) نزيل بغداد يكنى أبا القاسم روى عنه التلعكبري وسمع منه سنة326 وروى كتب الفضل بن شاذان عن أبي عبد الله محمد بن نعيم بن سادان المعروف بالشاذاني بن أخي الفضل وله منه إجازة وفي الخلاصة حيدر ابن شعيب الطالقاني خاص اه. قول الشيخ خاص أو خاصي أي من الشيعة وفي التعليقة عن خاله المجلسي أنه أخذه مدحا وتأمل هو فيه باحتمال إرادة كونه من الشيعة مقابل قولهم عامي لا انه من خواصهم (أقول) الظاهر من كلمة خاصي أو خاص أنه من الشيعة واحتمال أنه من خواصهم بعيد إن لم يكن مقطوعا بعدمه وفي التعليقة أيضا كونه شيخ إجازة يشير إلى الوثاقة (أقول) ولعله لذلك ذكره العلامة في الخلاصة وابن داود في القسم الأول وعده بعضهم ممدوحا والحق أنه لا يقصر عن الوثاقة. </w:t>
      </w:r>
    </w:p>
    <w:p/>
    <w:p>
      <w:pPr/>
      <w:r>
        <w:rPr/>
        <w:t xml:space="preserve">التمييز</w:t>
      </w:r>
    </w:p>
    <w:p/>
    <w:p>
      <w:pPr/>
      <w:r>
        <w:rPr/>
        <w:t xml:space="preserve">يأتي في حيدر بن محمد بن نعيم الآتي. </w:t>
      </w:r>
    </w:p>
    <w:p>
      <w:pPr>
        <w:jc w:val="start"/>
        <w:bidi/>
      </w:pPr>
      <w:r>
        <w:rPr>
          <w:sz w:val="24"/>
          <w:szCs w:val="24"/>
          <w:b w:val="1"/>
          <w:bCs w:val="1"/>
          <w:rtl/>
        </w:rPr>
        <w:t xml:space="preserve">
أعيان الشيعة،(دار التعارف للمطبوعات - بيروت،1983،ط 1،ج 6،ص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2026-07-07T01:12:46+03:00</dcterms:created>
  <dcterms:modified xsi:type="dcterms:W3CDTF">2026-07-07T01:12:46+03:00</dcterms:modified>
</cp:coreProperties>
</file>

<file path=docProps/custom.xml><?xml version="1.0" encoding="utf-8"?>
<Properties xmlns="http://schemas.openxmlformats.org/officeDocument/2006/custom-properties" xmlns:vt="http://schemas.openxmlformats.org/officeDocument/2006/docPropsVTypes"/>
</file>