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أو عمير الأوزاعي
</w:t>
      </w:r>
    </w:p>
    <w:p>
      <w:pPr>
        <w:jc w:val="start"/>
        <w:bidi/>
      </w:pPr>
      <w:r>
        <w:rPr>
          <w:rFonts w:ascii="arial" w:hAnsi="arial" w:eastAsia="arial" w:cs="arial"/>
          <w:sz w:val="28"/>
          <w:szCs w:val="28"/>
          <w:b w:val="1"/>
          <w:bCs w:val="1"/>
          <w:rtl/>
        </w:rPr>
        <w:t xml:space="preserve">أبو عمرو أو عمير الأوزاعي
</w:t>
      </w:r>
    </w:p>
    <w:p>
      <w:pPr/>
      <w:r>
        <w:rPr/>
        <w:t xml:space="preserve">أبو عمرو أو عمير الأوزاعي روى الكليني في روضة الكافي عن الحسين بن النضر الفهري عنه عن عمرو بن شمر (أقول) الظاهر أنه أبو عمرو عبد الرحمن بن عمرو بن أبي عمرو واسمه محمد الشامي الأوزاعي الفقيه المشهور نزيل بيروت المتوفي بها سنة 158 أو 156 أو 155 أو 151 فإنه في طبقة عمرو بن شمر الراوي عن الإمام جعفر الصادق عليه السلام المتوفي سنة 148.</w:t>
      </w:r>
    </w:p>
    <w:p>
      <w:pPr>
        <w:jc w:val="start"/>
        <w:bidi/>
      </w:pPr>
      <w:r>
        <w:rPr>
          <w:sz w:val="24"/>
          <w:szCs w:val="24"/>
          <w:b w:val="1"/>
          <w:bCs w:val="1"/>
          <w:rtl/>
        </w:rPr>
        <w:t xml:space="preserve">
أعيان الشيعة،(دار التعارف للمطبوعات - بيروت،1983،ط 1،ج 2،ص 388)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2026-07-06T17:45:33+03:00</dcterms:created>
  <dcterms:modified xsi:type="dcterms:W3CDTF">2026-07-06T17:45:33+03:00</dcterms:modified>
</cp:coreProperties>
</file>

<file path=docProps/custom.xml><?xml version="1.0" encoding="utf-8"?>
<Properties xmlns="http://schemas.openxmlformats.org/officeDocument/2006/custom-properties" xmlns:vt="http://schemas.openxmlformats.org/officeDocument/2006/docPropsVTypes"/>
</file>