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سديد الدين أبو علي بن طاهر الصوري
</w:t>
      </w:r>
    </w:p>
    <w:p>
      <w:pPr>
        <w:jc w:val="start"/>
        <w:bidi/>
      </w:pPr>
      <w:r>
        <w:rPr>
          <w:rFonts w:ascii="arial" w:hAnsi="arial" w:eastAsia="arial" w:cs="arial"/>
          <w:sz w:val="28"/>
          <w:szCs w:val="28"/>
          <w:b w:val="1"/>
          <w:bCs w:val="1"/>
          <w:rtl/>
        </w:rPr>
        <w:t xml:space="preserve">الشيخ سديد الدين أبو علي بن طاهر الصوري
</w:t>
      </w:r>
    </w:p>
    <w:p>
      <w:pPr/>
      <w:r>
        <w:rPr/>
        <w:t xml:space="preserve">الشيخ سديد الدين أبو علي بن طاهر الصوري العاملي ويوجد السيوري بدل الصوري وهو تصحيف</w:t>
      </w:r>
    </w:p>
    <w:p/>
    <w:p>
      <w:pPr/>
      <w:r>
        <w:rPr/>
        <w:t xml:space="preserve">في الرياض: عالم فاضل فقيه من أعاظم العلماء العاملة الإمامية. وفي موضع آخر من أجلة علماء الإمامية ذكره الأستاذ في البحار ونسب إليه كتاب قضاء حقوق المؤمنين وينقل عن كتاب هذا فيه واعتمد عليه وقال إنه كتاب جيد مشتمل على أخبار طريفة ’’اه’’ وينقل عن كتابه قضاء حقوق المؤمنين الشيخ أحمد بن سليمان البحراني في عقد اللآل وينقل عنه الكفعمي في حاشية مصباحه وقال إنه كتاب يتعلق بقضاء حوائج المؤمنين.</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2026-07-06T16:22:31+03:00</dcterms:created>
  <dcterms:modified xsi:type="dcterms:W3CDTF">2026-07-06T16:22:31+03:00</dcterms:modified>
</cp:coreProperties>
</file>

<file path=docProps/custom.xml><?xml version="1.0" encoding="utf-8"?>
<Properties xmlns="http://schemas.openxmlformats.org/officeDocument/2006/custom-properties" xmlns:vt="http://schemas.openxmlformats.org/officeDocument/2006/docPropsVTypes"/>
</file>