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خوقير
</w:t>
      </w:r>
    </w:p>
    <w:p>
      <w:pPr>
        <w:jc w:val="start"/>
        <w:bidi/>
      </w:pPr>
      <w:r>
        <w:rPr>
          <w:rFonts w:ascii="arial" w:hAnsi="arial" w:eastAsia="arial" w:cs="arial"/>
          <w:sz w:val="28"/>
          <w:szCs w:val="28"/>
          <w:b w:val="1"/>
          <w:bCs w:val="1"/>
          <w:rtl/>
        </w:rPr>
        <w:t xml:space="preserve">أبو بكر خوقير
</w:t>
      </w:r>
    </w:p>
    <w:p>
      <w:pPr/>
      <w:r>
        <w:rPr/>
        <w:t xml:space="preserve">أبو بكر خوقير  أبو بكر بن محمد بن عارف بن عبد القادر بن محمد علي خوقير: فقيه حنبلي، من أهل مكة، مولدا وسكنا ووفاة. عين مفتيا للحنابلة سنة 1327 ونكب في أيام الشريف حسين بن علي فحبس 18 شهرا، ثم نحوا من 70 شهرا. واشتغل بعد انطلاقه بالاتجار في الكتب، فكانت له مكتبة في باب السلام بمكة. وعين مدرسا بالحرم الملكي، في العهد السعودي، واستمر إلى أن توفي. له (فصل المقال وإرشاد الضال في توسل الجهال - ط) و (مسامرة الضيف في رحلة الشتاء والصيف - ط) و (ما لا بد منه في أمور الدين - ط) و (التحقيق في الطريق - خ) في نقد طرق المتصوفة. </w:t>
      </w:r>
    </w:p>
    <w:p>
      <w:pPr>
        <w:jc w:val="start"/>
        <w:bidi/>
      </w:pPr>
      <w:r>
        <w:rPr>
          <w:sz w:val="24"/>
          <w:szCs w:val="24"/>
          <w:b w:val="1"/>
          <w:bCs w:val="1"/>
          <w:rtl/>
        </w:rPr>
        <w:t xml:space="preserve">
الأعلام،(دار العلم للملايين - بيروت،2002،ط 15،ج 2،ص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2026-07-06T06:17:24+03:00</dcterms:created>
  <dcterms:modified xsi:type="dcterms:W3CDTF">2026-07-06T06:17:24+03:00</dcterms:modified>
</cp:coreProperties>
</file>

<file path=docProps/custom.xml><?xml version="1.0" encoding="utf-8"?>
<Properties xmlns="http://schemas.openxmlformats.org/officeDocument/2006/custom-properties" xmlns:vt="http://schemas.openxmlformats.org/officeDocument/2006/docPropsVTypes"/>
</file>