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المغازي
</w:t>
      </w:r>
    </w:p>
    <w:p>
      <w:pPr>
        <w:jc w:val="start"/>
        <w:bidi/>
      </w:pPr>
      <w:r>
        <w:rPr>
          <w:rFonts w:ascii="arial" w:hAnsi="arial" w:eastAsia="arial" w:cs="arial"/>
          <w:sz w:val="28"/>
          <w:szCs w:val="28"/>
          <w:b w:val="1"/>
          <w:bCs w:val="1"/>
          <w:rtl/>
        </w:rPr>
        <w:t xml:space="preserve">أبو عبد الله المغازي
</w:t>
      </w:r>
    </w:p>
    <w:p>
      <w:pPr/>
      <w:r>
        <w:rPr/>
        <w:t xml:space="preserve">أبو عبد الله المغازي ذكره الشيخ في رجاله في أصحابه الهادي عليه السلام وقال غال واحتمل في النقد أن يكون محمد بن إسحاق صاحب المغازي وهو توهم فاسد فإن صاحب المغازي مات سنة 151 والهادي عليه السلام توفي سنة 254 فبينهما أكثر من مائة سنة.</w:t>
      </w:r>
    </w:p>
    <w:p>
      <w:pPr>
        <w:jc w:val="start"/>
        <w:bidi/>
      </w:pPr>
      <w:r>
        <w:rPr>
          <w:sz w:val="24"/>
          <w:szCs w:val="24"/>
          <w:b w:val="1"/>
          <w:bCs w:val="1"/>
          <w:rtl/>
        </w:rPr>
        <w:t xml:space="preserve">
أعيان الشيعة،(دار التعارف للمطبوعات - بيروت،1983،ط 1،ج 2،ص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2026-07-06T09:50:41+03:00</dcterms:created>
  <dcterms:modified xsi:type="dcterms:W3CDTF">2026-07-06T09:50:41+03:00</dcterms:modified>
</cp:coreProperties>
</file>

<file path=docProps/custom.xml><?xml version="1.0" encoding="utf-8"?>
<Properties xmlns="http://schemas.openxmlformats.org/officeDocument/2006/custom-properties" xmlns:vt="http://schemas.openxmlformats.org/officeDocument/2006/docPropsVTypes"/>
</file>