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اليافعي
</w:t>
      </w:r>
    </w:p>
    <w:p>
      <w:pPr>
        <w:jc w:val="start"/>
        <w:bidi/>
      </w:pPr>
      <w:r>
        <w:rPr>
          <w:rFonts w:ascii="arial" w:hAnsi="arial" w:eastAsia="arial" w:cs="arial"/>
          <w:sz w:val="28"/>
          <w:szCs w:val="28"/>
          <w:b w:val="1"/>
          <w:bCs w:val="1"/>
          <w:rtl/>
        </w:rPr>
        <w:t xml:space="preserve">اليافعي
</w:t>
      </w:r>
    </w:p>
    <w:p>
      <w:pPr/>
      <w:r>
        <w:rPr/>
        <w:t xml:space="preserve">اليافعي  أبو بكر بن محمد بن عبد الله بن إبراهيم اليافعي: قاض يمني من الشعراء. من أهل الجند. له (ديوان) قال حاجي خليفة إنه في مجلدين معتدلين. ووصف شعره بأنه (حسن رائق يحتوي على الجد والهزل) وعلق محقق فقهاء اليمن بأن عمارة أورد بعض شعره في مختصر المفيد 169. </w:t>
      </w:r>
    </w:p>
    <w:p>
      <w:pPr>
        <w:jc w:val="start"/>
        <w:bidi/>
      </w:pPr>
      <w:r>
        <w:rPr>
          <w:sz w:val="24"/>
          <w:szCs w:val="24"/>
          <w:b w:val="1"/>
          <w:bCs w:val="1"/>
          <w:rtl/>
        </w:rPr>
        <w:t xml:space="preserve">
الأعلام،(دار العلم للملايين - بيروت،2002،ط 15،ج 2،ص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2026-07-06T06:12:30+03:00</dcterms:created>
  <dcterms:modified xsi:type="dcterms:W3CDTF">2026-07-06T06:12:30+03:00</dcterms:modified>
</cp:coreProperties>
</file>

<file path=docProps/custom.xml><?xml version="1.0" encoding="utf-8"?>
<Properties xmlns="http://schemas.openxmlformats.org/officeDocument/2006/custom-properties" xmlns:vt="http://schemas.openxmlformats.org/officeDocument/2006/docPropsVTypes"/>
</file>