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بن عزرو أو غرور أو غزور أو عزوز
</w:t>
      </w:r>
    </w:p>
    <w:p>
      <w:pPr>
        <w:jc w:val="start"/>
        <w:bidi/>
      </w:pPr>
      <w:r>
        <w:rPr>
          <w:rFonts w:ascii="arial" w:hAnsi="arial" w:eastAsia="arial" w:cs="arial"/>
          <w:sz w:val="28"/>
          <w:szCs w:val="28"/>
          <w:b w:val="1"/>
          <w:bCs w:val="1"/>
          <w:rtl/>
        </w:rPr>
        <w:t xml:space="preserve">الشيخ أبو طالب بن عزرو أو غرور أو غزور أو عزوز
</w:t>
      </w:r>
    </w:p>
    <w:p>
      <w:pPr/>
      <w:r>
        <w:rPr/>
        <w:t xml:space="preserve">الشيخ أبو طالب بن عزرو أو غرور أو غزور أو عزوز الموجود في أكثر النسخ عزوز بالعين المهملة والزاي والواو والراء وفي بعضهما بالغين المعجمة والراءين بينهما واو وفي بعضها بالعين والزاي والواو والراء وفي بعضها بالعين المهملة والزايين بينهما واو وبعضهم ضبطه بفتح الغين المعجمة وسكون الزاي. في التعليقة من مشايخ الشيخ ذكره العلامة في إجازته للسادة أولاد زهرة وغيره في غيرها ’’اه’’ وفي الرياض عده العلامة في آخر إجازته لبني زهرة من مشايخ الشيخ الطوسي من الخاصة ويظهر ذلك أيضا من مطاوي فهرست الشيخ وفي ترجمة أحمد بن محمد بن عمر بن موسى بن الجراح المعروف بابن الجندي قال الشيخ أخبرنا عن جميع كتبه أبو طالب بن عزور وقد يعبر عنه الشيخ في الفهرست بابن عزور كما في ترجمة إبراهيم بن أبي رافع ويروي عن ابن قوليه ’’اه’’.</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2026-07-05T22:41:52+03:00</dcterms:created>
  <dcterms:modified xsi:type="dcterms:W3CDTF">2026-07-05T22:41:52+03:00</dcterms:modified>
</cp:coreProperties>
</file>

<file path=docProps/custom.xml><?xml version="1.0" encoding="utf-8"?>
<Properties xmlns="http://schemas.openxmlformats.org/officeDocument/2006/custom-properties" xmlns:vt="http://schemas.openxmlformats.org/officeDocument/2006/docPropsVTypes"/>
</file>