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صالح ابن الميرزا محسن
</w:t>
      </w:r>
    </w:p>
    <w:p>
      <w:pPr>
        <w:jc w:val="start"/>
        <w:bidi/>
      </w:pPr>
      <w:r>
        <w:rPr>
          <w:rFonts w:ascii="arial" w:hAnsi="arial" w:eastAsia="arial" w:cs="arial"/>
          <w:sz w:val="28"/>
          <w:szCs w:val="28"/>
          <w:b w:val="1"/>
          <w:bCs w:val="1"/>
          <w:rtl/>
        </w:rPr>
        <w:t xml:space="preserve">الميرزا أبو صالح ابن الميرزا محسن
</w:t>
      </w:r>
    </w:p>
    <w:p>
      <w:pPr/>
      <w:r>
        <w:rPr/>
        <w:t xml:space="preserve">الميرزا أبو صالح ابن الميرزا محسن أو حسن بن الميرزا ألغ ابن الميرزا</w:t>
      </w:r>
    </w:p>
    <w:p/>
    <w:p>
      <w:pPr/>
      <w:r>
        <w:rPr/>
        <w:t xml:space="preserve">أبو صالح ابن المير شمس الدين بن المير غياث الدين عزيز بن شمس الدين محمد بن محمود بن محمد بن ميرباري بن حسن بن أبي الفتوح بن عيسى بن أبي صفي بن علي بن محمد الأعرج ابن أحمد بن موسى المبرقع ابن الإمام محمد الجواد عليه السلام. توفى حدود 109.</w:t>
      </w:r>
    </w:p>
    <w:p/>
    <w:p>
      <w:pPr/>
      <w:r>
        <w:rPr/>
        <w:t xml:space="preserve">سيد جليل عالم نبيل. في كتاب مطاع الشمس: نقيب الأشراف الرضوية التقوية في المشهد المقدس الرضوي قيل أن أمه فخر النساء بيكم بنت الشاه عباس الأول وفي عهد الشاه عباس الثاني كان له منصب صدر الممالك في جميع بلاد إيران. من أحفاده وذريته فعلا جمع كثير في عداد أصحاب المناصب في الآستانة المقدسة الرضوية ومن آثاره الخيرية المدرسة الصالحية بناها سنة 1086 ووقف عليها أملاكا كثيرة وتعرف اليوم بمدرسة النواب ومن آثاره إيوان مصلى المشهد المقدس الرضوي بناه سنة 1087 بأمر السلاطين الصفوية ’’اه’’ وفي كتاب الشجرة الطيبة: هو باني المدرسة الصالحية المعروفة الآن بمدرسة النواب ومصلى المشهد خارج باب المدينة بنى المصلى سنة 1087 بأمر السلاطين الصفوية وبنى المدرسة الصالحية المعروفة بمدرسة النواب سنة 1086 ووقف أملاكا كثيرة عليها وعلى طلاب العلوم الدينية وكتب على بابها: بسم الله الرحمن الرحيم بعد حمد الله سبحانه قد اتفق إتمام بناء هذه المدرسة الرفيعة الصالحية في أيام خلافة السلطان الأعظم والخاقان الأكرم مولى ملوك العرب والعجم السلطان ابن السلطان ابن السلطان ابن السلطان والخانقان ابن الخانقان ابن الخانقان ابن الخانقان أبو المظفر الشاه سليمان الحسيني الموسوي الصفوي أيد الله ملكه وسلطانه وأفاض على العالمين بره وعدله وإحسانه من خالص مال النواب المستطاب عمدة السادات والنجباء الكرام ومرجع النقباء العظام صدر الإسلام والمسلمين الميرزا أبو صالح النقيب الرضوي كتبه محمد صالح النقيب الرضوي كتبه محمد صالح سنة 1086 وكتب بعد ذلك أشعارا بالفارسية وكان الميرزا أبو صالح المذكور مصدر خيرات ومبرات وقف كتبا كثيرة على طلاب المدرسة المزبورة ولكن تاريخ وقف هذه الكتب المكتوب في ظهرها سنة 1083 (وكأنه كان وقفها قبل بناء المدرسة ثم جعلت فيها) وكان يلقب بصدر الممالك ألف رسالة سماها دقائق الخيال أورد فيها رباعيات الشعراء المتقدمين والمتأخرين بترتيب حروف الهجاء منسوبة لقائلها ’’اه’’.</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2026-07-05T20:16:34+03:00</dcterms:created>
  <dcterms:modified xsi:type="dcterms:W3CDTF">2026-07-05T20:16:34+03:00</dcterms:modified>
</cp:coreProperties>
</file>

<file path=docProps/custom.xml><?xml version="1.0" encoding="utf-8"?>
<Properties xmlns="http://schemas.openxmlformats.org/officeDocument/2006/custom-properties" xmlns:vt="http://schemas.openxmlformats.org/officeDocument/2006/docPropsVTypes"/>
</file>