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سنح بن عمرو النهدي
</w:t>
      </w:r>
    </w:p>
    <w:p>
      <w:pPr>
        <w:jc w:val="start"/>
        <w:bidi/>
      </w:pPr>
      <w:r>
        <w:rPr>
          <w:rFonts w:ascii="arial" w:hAnsi="arial" w:eastAsia="arial" w:cs="arial"/>
          <w:sz w:val="28"/>
          <w:szCs w:val="28"/>
          <w:b w:val="1"/>
          <w:bCs w:val="1"/>
          <w:rtl/>
        </w:rPr>
        <w:t xml:space="preserve">أبو سنح بن عمرو النهدي
</w:t>
      </w:r>
    </w:p>
    <w:p>
      <w:pPr/>
      <w:r>
        <w:rPr/>
        <w:t xml:space="preserve">أبو سنح بن عمرو النهدي لم نعرف اسمه قتل مع أمير المؤمنين علي عليه السلام بصفين سنة 37 روى نصر بن مزاحم في كتاب صفين قال: حدثنا عمر بن شمر عن الصلت بن زهير النهدي أن راية بني نهد بالعراق. ثم ذكر جماعة أخذوها منهم من قتل ومنهم من ارتث إلى أن قال ثم أخذها أبو سنح بن عمرو فقتل ’’انتهى’’.</w:t>
      </w:r>
    </w:p>
    <w:p>
      <w:pPr>
        <w:jc w:val="start"/>
        <w:bidi/>
      </w:pPr>
      <w:r>
        <w:rPr>
          <w:sz w:val="24"/>
          <w:szCs w:val="24"/>
          <w:b w:val="1"/>
          <w:bCs w:val="1"/>
          <w:rtl/>
        </w:rPr>
        <w:t xml:space="preserve">
أعيان الشيعة،(دار التعارف للمطبوعات - بيروت،1983،ط 1،ج 2،ص 359)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2026-07-05T17:23:46+03:00</dcterms:created>
  <dcterms:modified xsi:type="dcterms:W3CDTF">2026-07-05T17:23:46+03:00</dcterms:modified>
</cp:coreProperties>
</file>

<file path=docProps/custom.xml><?xml version="1.0" encoding="utf-8"?>
<Properties xmlns="http://schemas.openxmlformats.org/officeDocument/2006/custom-properties" xmlns:vt="http://schemas.openxmlformats.org/officeDocument/2006/docPropsVTypes"/>
</file>