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فرحون
</w:t>
      </w:r>
    </w:p>
    <w:p>
      <w:pPr>
        <w:jc w:val="start"/>
        <w:bidi/>
      </w:pPr>
      <w:r>
        <w:rPr>
          <w:rFonts w:ascii="arial" w:hAnsi="arial" w:eastAsia="arial" w:cs="arial"/>
          <w:sz w:val="28"/>
          <w:szCs w:val="28"/>
          <w:b w:val="1"/>
          <w:bCs w:val="1"/>
          <w:rtl/>
        </w:rPr>
        <w:t xml:space="preserve">ابن فرحون
</w:t>
      </w:r>
    </w:p>
    <w:p>
      <w:pPr/>
      <w:r>
        <w:rPr/>
        <w:t xml:space="preserve">ابن فرحون  إبراهيم بن علي بن محمد، ابن فرحون، برهان الدين اليعمري: عالم بحاث، ولد ونشأ ومات في المدينة. وهو مغربي الأصل، نسبته إلى يعمر بن مالك، من عدنان. رحل إلى مصر والقدس والشام سنة 792 هـ. وتولى القضاء بالمدينة سنة 793 ثم أصيب بالفالج في شقة الأيسر، فمات بعلته عن نحو 70 عاما. وهو من شيوخ المالكية، له (الديباج المذهب - ط) في تراجم اعيان المذهب المالكي، و (تبصرة الحكام في اصول الاقضية ومناهج الاحكام - ط) و (درة الغواص في محاضرة الخواص - خ) و (طبقات علماء الغرب - خ) و (تسهيل المهمات - خ) في شرح جامع الامهات لابن الحاجب، فقه.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2026-07-01T21:48:34+03:00</dcterms:created>
  <dcterms:modified xsi:type="dcterms:W3CDTF">2026-07-01T21:48:34+03:00</dcterms:modified>
</cp:coreProperties>
</file>

<file path=docProps/custom.xml><?xml version="1.0" encoding="utf-8"?>
<Properties xmlns="http://schemas.openxmlformats.org/officeDocument/2006/custom-properties" xmlns:vt="http://schemas.openxmlformats.org/officeDocument/2006/docPropsVTypes"/>
</file>