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الكندي
</w:t>
      </w:r>
    </w:p>
    <w:p>
      <w:pPr/>
      <w:r>
        <w:rPr/>
        <w:t xml:space="preserve">أبو الأسود الكندي أورد له ابن شهراشوب في المناقب قوله:</w:t>
      </w:r>
    </w:p>
    <w:p/>
    <w:p>
      <w:pPr>
        <w:jc w:val="center"/>
      </w:pPr>
      <w:r>
        <w:rPr>
          <w:color w:val="ff0000"/>
        </w:rPr>
        <w:t xml:space="preserve">أمفندي في حب آل محمد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حجر بفيك فدع ملامك أو زد</w:t>
      </w:r>
    </w:p>
    <w:p/>
    <w:p>
      <w:pPr>
        <w:jc w:val="center"/>
      </w:pPr>
      <w:r>
        <w:rPr>
          <w:color w:val="ff0000"/>
        </w:rPr>
        <w:t xml:space="preserve">من لم يكن بحبالهم متمسكا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فليعترف بولادة لم تشهد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2026-07-05T05:01:56+03:00</dcterms:created>
  <dcterms:modified xsi:type="dcterms:W3CDTF">2026-07-05T05:01:56+03:00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