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الطوسي
</w:t>
      </w:r>
    </w:p>
    <w:p>
      <w:pPr>
        <w:jc w:val="start"/>
        <w:bidi/>
      </w:pPr>
      <w:r>
        <w:rPr>
          <w:rFonts w:ascii="arial" w:hAnsi="arial" w:eastAsia="arial" w:cs="arial"/>
          <w:sz w:val="28"/>
          <w:szCs w:val="28"/>
          <w:b w:val="1"/>
          <w:bCs w:val="1"/>
          <w:rtl/>
        </w:rPr>
        <w:t xml:space="preserve">أبو جعفر الطوسي
</w:t>
      </w:r>
    </w:p>
    <w:p>
      <w:pPr/>
      <w:r>
        <w:rPr/>
        <w:t xml:space="preserve">أبو جعفر الطوسي اسمه محمد بن الحسن. وفي رياض العلماء الشيخ أبو جعفر الطوسي يطلق في الأغلب على محمد بن الحسن الطوسي المعروف بالشيخ الطوسي وقد يطلق على محمد بن علي بن حمزة بن محمد بن علي الطوسي المشهدي صاحب الوسيلة وهو فيه يقيد بأبي جعفر الطوسي المتأخر كما فعله الشيخ يحيى بن سعيد الحلي في كتابه نزهة الناظر وقد يعبر عنه بأبي جعفر الطوسي المشهدي الثاني ’’اه’’.</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2026-07-04T11:29:28+03:00</dcterms:created>
  <dcterms:modified xsi:type="dcterms:W3CDTF">2026-07-04T11:29:28+03:00</dcterms:modified>
</cp:coreProperties>
</file>

<file path=docProps/custom.xml><?xml version="1.0" encoding="utf-8"?>
<Properties xmlns="http://schemas.openxmlformats.org/officeDocument/2006/custom-properties" xmlns:vt="http://schemas.openxmlformats.org/officeDocument/2006/docPropsVTypes"/>
</file>