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w:t>
      </w:r>
    </w:p>
    <w:p>
      <w:pPr>
        <w:jc w:val="start"/>
        <w:bidi/>
      </w:pPr>
      <w:r>
        <w:rPr>
          <w:rFonts w:ascii="arial" w:hAnsi="arial" w:eastAsia="arial" w:cs="arial"/>
          <w:sz w:val="28"/>
          <w:szCs w:val="28"/>
          <w:b w:val="1"/>
          <w:bCs w:val="1"/>
          <w:rtl/>
        </w:rPr>
        <w:t xml:space="preserve">أبو أحمد
</w:t>
      </w:r>
    </w:p>
    <w:p>
      <w:pPr/>
      <w:r>
        <w:rPr/>
        <w:t xml:space="preserve">أبو أحمد اعلم ن صاحب النقد ذكر أن أبا أحمد كنية لجماعة اثني عشر وأنها أشهر في الأول منهم وهو محمد بن أبي عمير ميزهم أبو علي في رجاله بألقابهم. ولا يخفى أن المهم في الكنى ذكر من اشتهر بكنيته ولم يعلم اسمه أو كان اسمه كنيته أو من عبر عنه بكنيته في أسانيد الأخبار دون اسمه فيذكر اسمه ليمكن البحث عنه وهؤلاء ليسوا كذلك وأما ذكر كل من كنى بكنية وإن لم يعرف بها ولم تطلق عليه مفردة عن اسمه فلا فائدة فيه ولا يمكن استقصاؤهم وهكذا فعل في جملة من الكنى ولكننا مع ذلك نذكر جميع من ذكرهم كلا بمفرده ونزيد عليهم لئلا يفوتنا شيء مما في كتب الرجال.</w:t>
      </w:r>
    </w:p>
    <w:p>
      <w:pPr>
        <w:jc w:val="start"/>
        <w:bidi/>
      </w:pPr>
      <w:r>
        <w:rPr>
          <w:sz w:val="24"/>
          <w:szCs w:val="24"/>
          <w:b w:val="1"/>
          <w:bCs w:val="1"/>
          <w:rtl/>
        </w:rPr>
        <w:t xml:space="preserve">
أعيان الشيعة،(دار التعارف للمطبوعات - بيروت،1983،ط 1،ج 2،ص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2026-07-04T00:48:34+03:00</dcterms:created>
  <dcterms:modified xsi:type="dcterms:W3CDTF">2026-07-04T00:48:34+03:00</dcterms:modified>
</cp:coreProperties>
</file>

<file path=docProps/custom.xml><?xml version="1.0" encoding="utf-8"?>
<Properties xmlns="http://schemas.openxmlformats.org/officeDocument/2006/custom-properties" xmlns:vt="http://schemas.openxmlformats.org/officeDocument/2006/docPropsVTypes"/>
</file>