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الساعاتي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الساعاتي
</w:t>
      </w:r>
    </w:p>
    <w:p>
      <w:pPr/>
      <w:r>
        <w:rPr/>
        <w:t xml:space="preserve">ابن الساعاتي اسمه علي بن رستم الحلبي.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بهاء الدين أبو الحسن علي بن رستم
</w:t>
      </w:r>
    </w:p>
    <w:p>
      <w:pPr/>
      <w:r>
        <w:rPr/>
        <w:t xml:space="preserve">بهاء الدين أبو الحسن علي بن رستم بن هارون الحلبي المعروف بابن الساعاتي</w:t>
      </w:r>
    </w:p>
    <w:p/>
    <w:p>
      <w:pPr/>
      <w:r>
        <w:rPr/>
        <w:t xml:space="preserve">من شعره قوله في أمير المؤمنين (عليه السلام) كما في الطليعة:</w:t>
      </w:r>
    </w:p>
    <w:p/>
    <w:p>
      <w:pPr>
        <w:jc w:val="center"/>
      </w:pPr>
      <w:r>
        <w:rPr>
          <w:color w:val="ff0000"/>
        </w:rPr>
        <w:t xml:space="preserve">أمجادلي فيمن رويت صفاته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هل أتى وشرقت من أوصافي</w:t>
      </w:r>
    </w:p>
    <w:p/>
    <w:p>
      <w:pPr>
        <w:jc w:val="center"/>
      </w:pPr>
      <w:r>
        <w:rPr>
          <w:color w:val="ff0000"/>
        </w:rPr>
        <w:t xml:space="preserve">زوج البتول ووالد السبطين والفا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دي النبي ونجل عبد مناف</w:t>
      </w:r>
    </w:p>
    <w:p/>
    <w:p>
      <w:pPr>
        <w:jc w:val="center"/>
      </w:pPr>
      <w:r>
        <w:rPr>
          <w:color w:val="ff0000"/>
        </w:rPr>
        <w:t xml:space="preserve">أتظن تأخير الإمام نقيصة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والنقص للأطراف لا الأشراف</w:t>
      </w:r>
    </w:p>
    <w:p/>
    <w:p>
      <w:pPr>
        <w:jc w:val="center"/>
      </w:pPr>
      <w:r>
        <w:rPr>
          <w:color w:val="ff0000"/>
        </w:rPr>
        <w:t xml:space="preserve">أوما ترى إن الكوكب سبعة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والشمس رابعة بغير خلاف</w:t>
      </w:r>
    </w:p>
    <w:p/>
    <w:p>
      <w:pPr/>
      <w:r>
        <w:rPr/>
        <w:t xml:space="preserve">وقوله من قصيدة:</w:t>
      </w:r>
    </w:p>
    <w:p/>
    <w:p>
      <w:pPr>
        <w:jc w:val="center"/>
      </w:pPr>
      <w:r>
        <w:rPr>
          <w:color w:val="ff0000"/>
        </w:rPr>
        <w:t xml:space="preserve">أبا حسن إن أخروك وقدموا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عليك رجالا فهو في نقصهم يكفي</w:t>
      </w:r>
    </w:p>
    <w:p/>
    <w:p>
      <w:pPr>
        <w:jc w:val="center"/>
      </w:pPr>
      <w:r>
        <w:rPr>
          <w:color w:val="ff0000"/>
        </w:rPr>
        <w:t xml:space="preserve">فذي ألف الآحاد إن هي أخرت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وقدمن أصفار تعود إلى الألف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ولكل حي أسوة بمحمد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ومحمد ذو الموقف المشهود</w:t>
      </w:r>
    </w:p>
    <w:p/>
    <w:p>
      <w:pPr>
        <w:jc w:val="center"/>
      </w:pPr>
      <w:r>
        <w:rPr>
          <w:color w:val="ff0000"/>
        </w:rPr>
        <w:t xml:space="preserve">كم في مصارع آله من غارة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سوداء عدوها من التسويد</w:t>
      </w:r>
    </w:p>
    <w:p/>
    <w:p>
      <w:pPr>
        <w:jc w:val="center"/>
      </w:pPr>
      <w:r>
        <w:rPr>
          <w:color w:val="ff0000"/>
        </w:rPr>
        <w:t xml:space="preserve">فتاس بالمأموم والمسموم والمظلوم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والمجرور نحو يزيد</w:t>
      </w:r>
    </w:p>
    <w:p/>
    <w:p>
      <w:pPr/>
      <w:r>
        <w:rPr/>
        <w:t xml:space="preserve">وله ذكره الأبشيهي في المستطرف:</w:t>
      </w:r>
    </w:p>
    <w:p/>
    <w:p>
      <w:pPr>
        <w:jc w:val="center"/>
      </w:pPr>
      <w:r>
        <w:rPr>
          <w:color w:val="ff0000"/>
        </w:rPr>
        <w:t xml:space="preserve">قبلتها ورشفت خمرة ريقها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فوجدت نار صبابتي في كوثر</w:t>
      </w:r>
    </w:p>
    <w:p/>
    <w:p>
      <w:pPr>
        <w:jc w:val="center"/>
      </w:pPr>
      <w:r>
        <w:rPr>
          <w:color w:val="ff0000"/>
        </w:rPr>
        <w:t xml:space="preserve">ودخلت جنة وجهها فأباحني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رضوانها المرجو شرب المسكر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2026-07-03T23:45:54+03:00</dcterms:created>
  <dcterms:modified xsi:type="dcterms:W3CDTF">2026-07-03T23:45:54+03:00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