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حبران
</w:t>
      </w:r>
    </w:p>
    <w:p>
      <w:pPr>
        <w:jc w:val="start"/>
        <w:bidi/>
      </w:pPr>
      <w:r>
        <w:rPr>
          <w:rFonts w:ascii="arial" w:hAnsi="arial" w:eastAsia="arial" w:cs="arial"/>
          <w:sz w:val="28"/>
          <w:szCs w:val="28"/>
          <w:b w:val="1"/>
          <w:bCs w:val="1"/>
          <w:rtl/>
        </w:rPr>
        <w:t xml:space="preserve">ابن حبران
</w:t>
      </w:r>
    </w:p>
    <w:p>
      <w:pPr/>
      <w:r>
        <w:rPr/>
        <w:t xml:space="preserve">ابن حبران في معجم البلدان: جيشان، من مدن اليمن لم يزل بها علماء وفقهاء، ومن شعرائهم ابن حبران وهو من شعراء الرافضة وصاحب الكلمة المحرضة على المسلمين منها:</w:t>
      </w:r>
    </w:p>
    <w:p/>
    <w:p>
      <w:pPr>
        <w:jc w:val="center"/>
      </w:pPr>
      <w:r>
        <w:rPr>
          <w:color w:val="ff0000"/>
        </w:rPr>
        <w:t xml:space="preserve">وليس حي من الأحياء نعلمه</w:t>
      </w:r>
      <w:r>
        <w:rPr>
          <w:color w:val="ff0000"/>
        </w:rPr>
        <w:t xml:space="preserve">      </w:t>
      </w:r>
      <w:r>
        <w:rPr>
          <w:color w:val="ff0000"/>
        </w:rPr>
        <w:t xml:space="preserve">من ذي يمان ولا بكر ولا مضر</w:t>
      </w:r>
    </w:p>
    <w:p/>
    <w:p>
      <w:pPr>
        <w:jc w:val="center"/>
      </w:pPr>
      <w:r>
        <w:rPr>
          <w:color w:val="ff0000"/>
        </w:rPr>
        <w:t xml:space="preserve">إلا وهم شركاء في دمائهم</w:t>
      </w:r>
      <w:r>
        <w:rPr>
          <w:color w:val="ff0000"/>
        </w:rPr>
        <w:t xml:space="preserve">      </w:t>
      </w:r>
      <w:r>
        <w:rPr>
          <w:color w:val="ff0000"/>
        </w:rPr>
        <w:t xml:space="preserve">كما تشارك أيسار على جزر</w:t>
      </w:r>
    </w:p>
    <w:p/>
    <w:p>
      <w:pPr/>
      <w:r>
        <w:rPr/>
        <w:t xml:space="preserve">قال: وهذا يروى لدعبل اه.. قوله: صاحب الكلمة المحرضة على المسلمين، كلوة مسمومة صادرة عن قلب متشبع بالنصب، ولا غرو فياقوت-كما ذكروا في ترجمته-طالع كتب الخوارج فعلق بنفسه منها شيء، وتكلم بدمشق كلاما في حق الخوارج فعلق بنفسه منها شيء، وتكلم بدمشق كلاما في حق علي بن أبي طالب أوجب إرادة التعرض له بالأذى فهرب منها. فإذا كان ياقوت يميل إلى رأي الخوارج فأصحابه هم الذين كفروا المسلمين واستحلوا دماءهم وأموالهم وأعراضهم وحرضوا عليهم لا هذا، وأيضا فهذا الشاعر يقول: إن جميع أحياء أفراد كل حي اشتركوا فيه، بل يكفي اشتراك واحد من الحي في ذلك، فهل يمكن لياقوت أو غيره أن ينكر هذا، فالذين قتلوا الحسين عليه السلام كانوا من أحياء متعددة، وقلما يكون حي من أحياء العرب ليس منه واحد معهم فهؤلاء الذين يتظلم منهم هذا الشاعر.</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2026-07-03T22:40:24+03:00</dcterms:created>
  <dcterms:modified xsi:type="dcterms:W3CDTF">2026-07-03T22:40:24+03:00</dcterms:modified>
</cp:coreProperties>
</file>

<file path=docProps/custom.xml><?xml version="1.0" encoding="utf-8"?>
<Properties xmlns="http://schemas.openxmlformats.org/officeDocument/2006/custom-properties" xmlns:vt="http://schemas.openxmlformats.org/officeDocument/2006/docPropsVTypes"/>
</file>