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ميمون، أراه القداح 
</w:t>
      </w:r>
    </w:p>
    <w:p>
      <w:pPr/>
      <w:r>
        <w:rPr/>
        <w:t xml:space="preserve">عبد الله بن ميمون، أراه القداح. </w:t>
      </w:r>
    </w:p>
    <w:p/>
    <w:p>
      <w:pPr/>
      <w:r>
        <w:rPr/>
        <w:t xml:space="preserve">ذاهب الحديث.</w:t>
      </w:r>
    </w:p>
    <w:p/>
    <w:p>
      <w:pPr/>
      <w:r>
        <w:rPr/>
        <w:t xml:space="preserve">عن جعفر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ميمون
</w:t>
      </w:r>
    </w:p>
    <w:p>
      <w:pPr/>
      <w:r>
        <w:rPr/>
        <w:t xml:space="preserve">ابن ميمون </w:t>
      </w:r>
    </w:p>
    <w:p/>
    <w:p>
      <w:pPr/>
      <w:r>
        <w:rPr/>
        <w:t xml:space="preserve">عبد الله القداح ومحمد الخياط 3012 5181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2026-07-04T22:47:17+03:00</dcterms:created>
  <dcterms:modified xsi:type="dcterms:W3CDTF">2026-07-04T22:47:17+03:00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