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المنصور الرسولي
</w:t>
      </w:r>
    </w:p>
    <w:p>
      <w:pPr>
        <w:jc w:val="start"/>
        <w:bidi/>
      </w:pPr>
      <w:r>
        <w:rPr>
          <w:rFonts w:ascii="arial" w:hAnsi="arial" w:eastAsia="arial" w:cs="arial"/>
          <w:sz w:val="28"/>
          <w:szCs w:val="28"/>
          <w:b w:val="1"/>
          <w:bCs w:val="1"/>
          <w:rtl/>
        </w:rPr>
        <w:t xml:space="preserve">المنصور الرسولي
</w:t>
      </w:r>
    </w:p>
    <w:p>
      <w:pPr/>
      <w:r>
        <w:rPr/>
        <w:t xml:space="preserve">المنصور الرسولي  أيوب (المنصور) بن يوسف (المظفر) ابن عمر بن علي بن رسول: من ملوك الدولة الرسولية في اليمن. وليها نحو ثلاثة أشهر، وثار عليه بعض كبار المماليك والأمراء، فخلعوه، وأعادوا سلفه (الملك المجاهد) فاعتقله المجاهد بدار الإمارة في حصن تعز. ولبث معتقلا إلى أن توفي. </w:t>
      </w:r>
    </w:p>
    <w:p>
      <w:pPr>
        <w:jc w:val="start"/>
        <w:bidi/>
      </w:pPr>
      <w:r>
        <w:rPr>
          <w:sz w:val="24"/>
          <w:szCs w:val="24"/>
          <w:b w:val="1"/>
          <w:bCs w:val="1"/>
          <w:rtl/>
        </w:rPr>
        <w:t xml:space="preserve">
الأعلام،(دار العلم للملايين - بيروت،2002،ط 15،ج 2،ص 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2026-07-05T23:09:45+03:00</dcterms:created>
  <dcterms:modified xsi:type="dcterms:W3CDTF">2026-07-05T23:09:45+03:00</dcterms:modified>
</cp:coreProperties>
</file>

<file path=docProps/custom.xml><?xml version="1.0" encoding="utf-8"?>
<Properties xmlns="http://schemas.openxmlformats.org/officeDocument/2006/custom-properties" xmlns:vt="http://schemas.openxmlformats.org/officeDocument/2006/docPropsVTypes"/>
</file>