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أخي خلاد
</w:t>
      </w:r>
    </w:p>
    <w:p>
      <w:pPr>
        <w:jc w:val="start"/>
        <w:bidi/>
      </w:pPr>
      <w:r>
        <w:rPr>
          <w:rFonts w:ascii="arial" w:hAnsi="arial" w:eastAsia="arial" w:cs="arial"/>
          <w:sz w:val="28"/>
          <w:szCs w:val="28"/>
          <w:b w:val="1"/>
          <w:bCs w:val="1"/>
          <w:rtl/>
        </w:rPr>
        <w:t xml:space="preserve">ابن أخي خلاد
</w:t>
      </w:r>
    </w:p>
    <w:p>
      <w:pPr/>
      <w:r>
        <w:rPr/>
        <w:t xml:space="preserve">ابن أخي خلاد في رجال الميرزا اسمه حكم بن حكيم صرح به ابن بابويه في الفقيه في باب ما ينجس الثوب والجسد وفي النقد يظهر ذلك من الفقيه ’’اه’’ ونقله في الخلاصة عن ابن بابويه.</w:t>
      </w:r>
    </w:p>
    <w:p>
      <w:pPr>
        <w:jc w:val="start"/>
        <w:bidi/>
      </w:pPr>
      <w:r>
        <w:rPr>
          <w:sz w:val="24"/>
          <w:szCs w:val="24"/>
          <w:b w:val="1"/>
          <w:bCs w:val="1"/>
          <w:rtl/>
        </w:rPr>
        <w:t xml:space="preserve">
أعيان الشيعة،(دار التعارف للمطبوعات - بيروت،1983،ط 1،ج 2،ص 260)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2026-07-02T10:41:53+03:00</dcterms:created>
  <dcterms:modified xsi:type="dcterms:W3CDTF">2026-07-02T10:41:53+03:00</dcterms:modified>
</cp:coreProperties>
</file>

<file path=docProps/custom.xml><?xml version="1.0" encoding="utf-8"?>
<Properties xmlns="http://schemas.openxmlformats.org/officeDocument/2006/custom-properties" xmlns:vt="http://schemas.openxmlformats.org/officeDocument/2006/docPropsVTypes"/>
</file>