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الثلج
</w:t>
      </w:r>
    </w:p>
    <w:p>
      <w:pPr>
        <w:jc w:val="start"/>
        <w:bidi/>
      </w:pPr>
      <w:r>
        <w:rPr>
          <w:rFonts w:ascii="arial" w:hAnsi="arial" w:eastAsia="arial" w:cs="arial"/>
          <w:sz w:val="28"/>
          <w:szCs w:val="28"/>
          <w:b w:val="1"/>
          <w:bCs w:val="1"/>
          <w:rtl/>
        </w:rPr>
        <w:t xml:space="preserve">ابن أبي الثلج
</w:t>
      </w:r>
    </w:p>
    <w:p>
      <w:pPr/>
      <w:r>
        <w:rPr/>
        <w:t xml:space="preserve">ابن أبي الثلج في نقد الرجال وغيره اسمه محمد بن أحمد بن محمد بن عبد الله. وفي فهرست ابن النديم ابن أبي الثلج أبو بكر محمد بن أحمد بن محمد بن أبي الثلج.</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الكاتب محمد بن أحمد بن محمد بن أبي الثلج
</w:t>
      </w:r>
    </w:p>
    <w:p>
      <w:pPr/>
      <w:r>
        <w:rPr/>
        <w:t xml:space="preserve">أبو بكر الكاتب محمد بن أحمد بن محمد بن أبي الثلج عبد الله بن إسماعيل المعروف بابن أبي الثلج</w:t>
      </w:r>
    </w:p>
    <w:p/>
    <w:p>
      <w:pPr/>
      <w:r>
        <w:rPr/>
        <w:t xml:space="preserve">توفي سنة 301 في طبقة سعد بن عبد الله له كتاب ذكر من قال بالتفضيل من الصحابة.</w:t>
      </w:r>
    </w:p>
    <w:p>
      <w:pPr>
        <w:jc w:val="start"/>
        <w:bidi/>
      </w:pPr>
      <w:r>
        <w:rPr>
          <w:sz w:val="24"/>
          <w:szCs w:val="24"/>
          <w:b w:val="1"/>
          <w:bCs w:val="1"/>
          <w:rtl/>
        </w:rPr>
        <w:t xml:space="preserve">
أعيان الشيعة،(دار التعارف للمطبوعات - بيروت،1983،ط 1،ج 9،ص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عبد الله بن أبي الثلج، أبو بكر الكاتب.
</w:t>
      </w:r>
    </w:p>
    <w:p>
      <w:pPr/>
      <w:r>
        <w:rPr/>
        <w:t xml:space="preserve">محمد بن أحمد بن محمد بن عبد الله بن أبي الثلج، أبو بكر الكاتب. </w:t>
      </w:r>
    </w:p>
    <w:p/>
    <w:p>
      <w:pPr/>
      <w:r>
        <w:rPr/>
        <w:t xml:space="preserve">سمع جده محمداً، وعمرو بن شبة، وجماعة.</w:t>
      </w:r>
    </w:p>
    <w:p/>
    <w:p>
      <w:pPr/>
      <w:r>
        <w:rPr/>
        <w:t xml:space="preserve">روى عنه الدارقطني، وابن شاهين، ويوسف بن عمر القواس، وذكره في شيوخه الثقات.</w:t>
      </w:r>
    </w:p>
    <w:p/>
    <w:p>
      <w:pPr/>
      <w:r>
        <w:rPr/>
        <w:t xml:space="preserve">ذكره الخطيب وقال: مولده سنة ثمان وثلاثين ومائتين، وتوفي سنة اثنتين وعشرين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أبي الثلج الكاتب 
</w:t>
      </w:r>
    </w:p>
    <w:p>
      <w:pPr/>
      <w:r>
        <w:rPr/>
        <w:t xml:space="preserve">محمد بن أحمد بن محمد بن أبي الثّلج الكاتب. </w:t>
      </w:r>
    </w:p>
    <w:p/>
    <w:p>
      <w:pPr/>
      <w:r>
        <w:rPr/>
        <w:t xml:space="preserve">كان أديبا فاضلا ورعا. له من الكتب: كتاب السّنن والآداب، وكتاب فضائل الصّحابة، وكتاب الاختيار من الأسانيد.</w:t>
      </w:r>
    </w:p>
    <w:p>
      <w:pPr>
        <w:jc w:val="start"/>
        <w:bidi/>
      </w:pPr>
      <w:r>
        <w:rPr>
          <w:sz w:val="24"/>
          <w:szCs w:val="24"/>
          <w:b w:val="1"/>
          <w:bCs w:val="1"/>
          <w:rtl/>
        </w:rPr>
        <w:t xml:space="preserve">
الدر الثمين في أسماء المصنفين،(دار الغرب الإسلامي - تونس،2009،ط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2026-07-02T08:49:47+03:00</dcterms:created>
  <dcterms:modified xsi:type="dcterms:W3CDTF">2026-07-02T08:49:47+03:00</dcterms:modified>
</cp:coreProperties>
</file>

<file path=docProps/custom.xml><?xml version="1.0" encoding="utf-8"?>
<Properties xmlns="http://schemas.openxmlformats.org/officeDocument/2006/custom-properties" xmlns:vt="http://schemas.openxmlformats.org/officeDocument/2006/docPropsVTypes"/>
</file>