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هرمة
</w:t>
      </w:r>
    </w:p>
    <w:p>
      <w:pPr/>
      <w:r>
        <w:rPr/>
        <w:t xml:space="preserve">إبراهيم بن هرمة اسمه إبراهيم بن علي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هرمة
</w:t>
      </w:r>
    </w:p>
    <w:p>
      <w:pPr/>
      <w:r>
        <w:rPr/>
        <w:t xml:space="preserve">إبراهيم بن هرمة  شاعر زمانه، أبو إسحاق إبراهيم بن علي بن سلمة بن عامر الفهري المدني.</w:t>
      </w:r>
    </w:p>
    <w:p/>
    <w:p>
      <w:pPr/>
      <w:r>
        <w:rPr/>
        <w:t xml:space="preserve">أحد البلغاء، من شعراء الدولتين، وكان منقطعا إلى العلوية.</w:t>
      </w:r>
    </w:p>
    <w:p/>
    <w:p>
      <w:pPr/>
      <w:r>
        <w:rPr/>
        <w:t xml:space="preserve">قال الدارقطني: هو مقدم في شعراء المحدثين. قدمه بعضهم على بشار. وقال ابن عائشة: وفد ابن هرمة، فمدح المنصور، فأعطاه عشرة آلاف درهم. ومن شعره:</w:t>
      </w:r>
    </w:p>
    <w:p/>
    <w:p>
      <w:pPr>
        <w:jc w:val="center"/>
      </w:pPr>
      <w:r>
        <w:rPr>
          <w:color w:val="ff0000"/>
        </w:rPr>
        <w:t xml:space="preserve">كأن عيني إذ ولت حمولهم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عني جناحا حمام صادفت مطرا</w:t>
      </w:r>
    </w:p>
    <w:p/>
    <w:p>
      <w:pPr>
        <w:jc w:val="center"/>
      </w:pPr>
      <w:r>
        <w:rPr>
          <w:color w:val="ff0000"/>
        </w:rPr>
        <w:t xml:space="preserve">أو لؤلؤ سلس في عقد جارية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خرقاء نازعها الوالدان فانتثرا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2026-07-02T07:51:10+03:00</dcterms:created>
  <dcterms:modified xsi:type="dcterms:W3CDTF">2026-07-02T07:51:10+03:00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