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محمد القمي ثم النجفي ثم الهمداني
</w:t>
      </w:r>
    </w:p>
    <w:p>
      <w:pPr>
        <w:jc w:val="start"/>
        <w:bidi/>
      </w:pPr>
      <w:r>
        <w:rPr>
          <w:rFonts w:ascii="arial" w:hAnsi="arial" w:eastAsia="arial" w:cs="arial"/>
          <w:sz w:val="28"/>
          <w:szCs w:val="28"/>
          <w:b w:val="1"/>
          <w:bCs w:val="1"/>
          <w:rtl/>
        </w:rPr>
        <w:t xml:space="preserve">السيد إبراهيم ابن السيد محمد القمي ثم النجفي ثم الهمداني
</w:t>
      </w:r>
    </w:p>
    <w:p>
      <w:pPr/>
      <w:r>
        <w:rPr/>
        <w:t xml:space="preserve">السيد إبراهيم ابن السيد محمد القمي ثم النجفي ثم الهمداني في تملة أمل الآمل للشيخ عبد النبي القزويني: تلميذ بحر العلوم كان فاضلا محققا وعالما مدققا ذا فطنة ودراية متقنا بارعا حاذقا في الحكمة والكلام والحديث والأصول والتفسير والفقه ومن مصنفاته شرح المفاتيح وشرح الوافي وغيرهما من الرسائل المفردة حضرت مجلس درسه كثيرا ’’انتهى’’ فهو في طبقة بحر العلوم. وفي الذريعة إلى معرفة مؤلفات الشيعة:السيد إبراهيم بن محمد القمي معاصر للشيخ عبد النبي الكاظمي العاملي صاحب تكملة الرجال له حاشية على الوافي.</w:t>
      </w:r>
    </w:p>
    <w:p>
      <w:pPr>
        <w:jc w:val="start"/>
        <w:bidi/>
      </w:pPr>
      <w:r>
        <w:rPr>
          <w:sz w:val="24"/>
          <w:szCs w:val="24"/>
          <w:b w:val="1"/>
          <w:bCs w:val="1"/>
          <w:rtl/>
        </w:rPr>
        <w:t xml:space="preserve">
أعيان الشيعة،(دار التعارف للمطبوعات - بيروت،1983،ط 1،ج 2،ص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2026-07-02T06:03:57+03:00</dcterms:created>
  <dcterms:modified xsi:type="dcterms:W3CDTF">2026-07-02T06:03:57+03:00</dcterms:modified>
</cp:coreProperties>
</file>

<file path=docProps/custom.xml><?xml version="1.0" encoding="utf-8"?>
<Properties xmlns="http://schemas.openxmlformats.org/officeDocument/2006/custom-properties" xmlns:vt="http://schemas.openxmlformats.org/officeDocument/2006/docPropsVTypes"/>
</file>