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داود اليعقوبي
</w:t>
      </w:r>
    </w:p>
    <w:p>
      <w:pPr>
        <w:jc w:val="start"/>
        <w:bidi/>
      </w:pPr>
      <w:r>
        <w:rPr>
          <w:rFonts w:ascii="arial" w:hAnsi="arial" w:eastAsia="arial" w:cs="arial"/>
          <w:sz w:val="28"/>
          <w:szCs w:val="28"/>
          <w:b w:val="1"/>
          <w:bCs w:val="1"/>
          <w:rtl/>
        </w:rPr>
        <w:t xml:space="preserve">إبراهيم بن داود اليعقوبي
</w:t>
      </w:r>
    </w:p>
    <w:p>
      <w:pPr/>
      <w:r>
        <w:rPr/>
        <w:t xml:space="preserve">إبراهيم بن داود اليعقوبي عن الإيضاح وغيره ضبطه بالمثناة التحتية في أوله ويجتمل كونه بالموحدة كما عن خط الشهيد الثاني نسبة إلى يعقوبا قصبته بينها وبين بغداد عشرة فراسخ ذكره الشيخ في رجال الجواد والهادي عليهما السلام وروى الكشي بسنده عن إبراهيم بن داود اليعقوبي قال كتبت إليه يعني أبا الحسن عليه السلام أعلمه أمر فارس بن حاتم (وكان قد ظهر منه الغلو) فكتب لا تحفلن به وإن أتاك فاستخف به ’’انتهى’’ وهذا يدل على حسن عقيدة إبراهيم وعن جامع الرواة: عنه السندي بن الربيع في أواخر كتاب المكاسب من التهذيب.</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2026-07-01T23:14:04+03:00</dcterms:created>
  <dcterms:modified xsi:type="dcterms:W3CDTF">2026-07-01T23:14:04+03:00</dcterms:modified>
</cp:coreProperties>
</file>

<file path=docProps/custom.xml><?xml version="1.0" encoding="utf-8"?>
<Properties xmlns="http://schemas.openxmlformats.org/officeDocument/2006/custom-properties" xmlns:vt="http://schemas.openxmlformats.org/officeDocument/2006/docPropsVTypes"/>
</file>