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التنكابني القزويني
</w:t>
      </w:r>
    </w:p>
    <w:p>
      <w:pPr>
        <w:jc w:val="start"/>
        <w:bidi/>
      </w:pPr>
      <w:r>
        <w:rPr>
          <w:rFonts w:ascii="arial" w:hAnsi="arial" w:eastAsia="arial" w:cs="arial"/>
          <w:sz w:val="28"/>
          <w:szCs w:val="28"/>
          <w:b w:val="1"/>
          <w:bCs w:val="1"/>
          <w:rtl/>
        </w:rPr>
        <w:t xml:space="preserve">السيد إبراهيم التنكابني القزويني
</w:t>
      </w:r>
    </w:p>
    <w:p>
      <w:pPr/>
      <w:r>
        <w:rPr/>
        <w:t xml:space="preserve">السيد إبراهيم التنكابني القزويني توفي سنة 1323 أو 24 ودفن في قزوين (والتنكابني) نسبة إلى تنكابن بضم المثناة الفوقية وسكون النون وبالكاف الفارسية بعدها ألف وباء موحدة مضمومة ونون. بلدة من بلاد إيران بناحية قزوين. أحد النحاة والأصوليين أخذ عن علماء النجف منهم الميزا حبيب الله الرشتي الجيلاني وله مؤلفات لم تحضرنا الآن أسماؤها.</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2026-07-01T20:32:45+03:00</dcterms:created>
  <dcterms:modified xsi:type="dcterms:W3CDTF">2026-07-01T20:32:45+03:00</dcterms:modified>
</cp:coreProperties>
</file>

<file path=docProps/custom.xml><?xml version="1.0" encoding="utf-8"?>
<Properties xmlns="http://schemas.openxmlformats.org/officeDocument/2006/custom-properties" xmlns:vt="http://schemas.openxmlformats.org/officeDocument/2006/docPropsVTypes"/>
</file>