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الحر العملي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الحر العملي الجبعي
</w:t>
      </w:r>
    </w:p>
    <w:p>
      <w:pPr/>
      <w:r>
        <w:rPr/>
        <w:t xml:space="preserve">الشيخ إبراهيم الحر العملي الجبعي توفى سنة 1204 في ربيع الأول في جبع.</w:t>
      </w:r>
    </w:p>
    <w:p/>
    <w:p>
      <w:pPr/>
      <w:r>
        <w:rPr/>
        <w:t xml:space="preserve">ذكر في مجلة العرفان نقلا عن المخطوط العاملي في التاريخ، والظاهر أنه كان من أهل العلم والفضل.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2026-07-01T18:56:35+03:00</dcterms:created>
  <dcterms:modified xsi:type="dcterms:W3CDTF">2026-07-01T18:56:35+03:00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