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أمين الجندي
</w:t>
      </w:r>
    </w:p>
    <w:p>
      <w:pPr>
        <w:jc w:val="start"/>
        <w:bidi/>
      </w:pPr>
      <w:r>
        <w:rPr>
          <w:rFonts w:ascii="arial" w:hAnsi="arial" w:eastAsia="arial" w:cs="arial"/>
          <w:sz w:val="28"/>
          <w:szCs w:val="28"/>
          <w:b w:val="1"/>
          <w:bCs w:val="1"/>
          <w:rtl/>
        </w:rPr>
        <w:t xml:space="preserve">الشيخ أمين الجندي
</w:t>
      </w:r>
    </w:p>
    <w:p>
      <w:pPr/>
      <w:r>
        <w:rPr/>
        <w:t xml:space="preserve">الشيخ أمين الجندي  امين بن خالد بن محمد بن أحمد الجندي: شاعر، مناعيان مدينة حمص، مولده ووف5اته فيها، تردد كثيرا إلى دمشق فاخذ عن علمائها وعاشر ادباءها. ولما كانت سنة 1246 هـ ، قدم حمص عامل من قبل السلطان محمود العثماني فوشى اليه بعض اعوانه بأن صاحب الترجمة هجاه، فأمر بنفيه. وعلم الشيخ امين بالامر ففر إلى حماة، فادركه اعوان العامل، فامر بحبسه في اصطبل الدواب وحبس عنه الطعام والشراب الا ما يسد به الرمق، فاقام اربعة ايام. واغار على حمص بمئتي فارس فقتلوا العامل، وافرج عن الشيخ امين. له (ديوان شعر - ط) وفي شعره كثير من الموشحات وتواريخ الوفيات الشائعة في ايامه</w:t>
      </w:r>
    </w:p>
    <w:p>
      <w:pPr>
        <w:jc w:val="start"/>
        <w:bidi/>
      </w:pPr>
      <w:r>
        <w:rPr>
          <w:sz w:val="24"/>
          <w:szCs w:val="24"/>
          <w:b w:val="1"/>
          <w:bCs w:val="1"/>
          <w:rtl/>
        </w:rPr>
        <w:t xml:space="preserve">
الأعلام،(دار العلم للملايين - بيروت،2002،ط 15،ج 2،ص 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2026-07-05T17:56:08+03:00</dcterms:created>
  <dcterms:modified xsi:type="dcterms:W3CDTF">2026-07-05T17:56:08+03:00</dcterms:modified>
</cp:coreProperties>
</file>

<file path=docProps/custom.xml><?xml version="1.0" encoding="utf-8"?>
<Properties xmlns="http://schemas.openxmlformats.org/officeDocument/2006/custom-properties" xmlns:vt="http://schemas.openxmlformats.org/officeDocument/2006/docPropsVTypes"/>
</file>