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الجبار، أبو منصور السمعاني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الجبار، أبو منصور السمعاني
</w:t>
      </w:r>
    </w:p>
    <w:p>
      <w:pPr/>
      <w:r>
        <w:rPr/>
        <w:t xml:space="preserve">محمد بن عبد الجبار، أبو منصور السمعاني و أبو منصور بن محمد بن عبد الجبار السمعاني، المرزوي.</w:t>
      </w:r>
    </w:p>
    <w:p/>
    <w:p>
      <w:pPr/>
      <w:r>
        <w:rPr/>
        <w:t xml:space="preserve">كذا يوجد في طبقات الأصحاب. والصواب: أبو منصور محمد، بإسقاط لفظة’’ابن’’. قال السمعاني: له تصانيف مفيدة، وكان إماما في العربية. وقال الذهبي: كان إماما، ورعا، نحويا، لغويا. له مصنفات.</w:t>
      </w:r>
    </w:p>
    <w:p/>
    <w:p>
      <w:pPr/>
      <w:r>
        <w:rPr/>
        <w:t xml:space="preserve">مات سنة 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2026-06-30T10:30:12+03:00</dcterms:created>
  <dcterms:modified xsi:type="dcterms:W3CDTF">2026-06-30T10:30:12+03:00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