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محسن بن عبد الله، أبو القاسم التنوخي
</w:t>
      </w:r>
    </w:p>
    <w:p>
      <w:pPr>
        <w:jc w:val="start"/>
        <w:bidi/>
      </w:pPr>
      <w:r>
        <w:rPr>
          <w:rFonts w:ascii="arial" w:hAnsi="arial" w:eastAsia="arial" w:cs="arial"/>
          <w:sz w:val="28"/>
          <w:szCs w:val="28"/>
          <w:b w:val="1"/>
          <w:bCs w:val="1"/>
          <w:rtl/>
        </w:rPr>
        <w:t xml:space="preserve">محسن بن عبد الله، أبو القاسم التنوخي
</w:t>
      </w:r>
    </w:p>
    <w:p>
      <w:pPr/>
      <w:r>
        <w:rPr/>
        <w:t xml:space="preserve">محسن بن عبد الله، أبو القاسم التنوخي محسن بن عبد الله بن محمد، أبو القاسم، التنوخي، اللغوي، القاضي، الحنفي. قال الذهبي: كان من أوعية العلم.</w:t>
      </w:r>
    </w:p>
    <w:p/>
    <w:p>
      <w:pPr/>
      <w:r>
        <w:rPr/>
        <w:t xml:space="preserve">وله مصنفات كثيرة.</w:t>
      </w:r>
    </w:p>
    <w:p/>
    <w:p>
      <w:pPr/>
      <w:r>
        <w:rPr/>
        <w:t xml:space="preserve">ولد يوم الأحد، الثامن والعشرين من شهر ربيع الآخر سنة تسع وأربعين وثلاثمائة. وقدم دمشق مجتازا إلى الحج فأدركه أجله في الطريق، في ذي القعدة، فحمل إلى مدينة النبي صلى الله عليه وسلم، ودفن بالبقيع، سنة سبع عشرة وأربعمائة.</w:t>
      </w:r>
    </w:p>
    <w:p/>
    <w:p>
      <w:pPr/>
      <w:r>
        <w:rPr/>
        <w:t xml:space="preserve">وله شعر جيد. منه هذا:</w:t>
      </w:r>
    </w:p>
    <w:p/>
    <w:p>
      <w:pPr>
        <w:jc w:val="center"/>
      </w:pPr>
      <w:r>
        <w:rPr>
          <w:color w:val="ff0000"/>
        </w:rPr>
        <w:t xml:space="preserve">وكل أداريه على حسب حاله </w:t>
      </w:r>
      <w:r>
        <w:rPr>
          <w:color w:val="ff0000"/>
        </w:rPr>
        <w:t xml:space="preserve">      </w:t>
      </w:r>
      <w:r>
        <w:rPr>
          <w:color w:val="ff0000"/>
        </w:rPr>
        <w:t xml:space="preserve"> سوى حاسدي فهي التي لا أنالها</w:t>
      </w:r>
    </w:p>
    <w:p/>
    <w:p>
      <w:pPr>
        <w:jc w:val="center"/>
      </w:pPr>
      <w:r>
        <w:rPr>
          <w:color w:val="ff0000"/>
        </w:rPr>
        <w:t xml:space="preserve">وكيف يداري المرء حاسد نعمة </w:t>
      </w:r>
      <w:r>
        <w:rPr>
          <w:color w:val="ff0000"/>
        </w:rPr>
        <w:t xml:space="preserve">      </w:t>
      </w:r>
      <w:r>
        <w:rPr>
          <w:color w:val="ff0000"/>
        </w:rPr>
        <w:t xml:space="preserve"> إذا كان لا يرضيه إلا زوالها</w:t>
      </w:r>
    </w:p>
    <w:p/>
    <w:p>
      <w:pPr>
        <w:jc w:val="start"/>
        <w:bidi/>
      </w:pPr>
      <w:r>
        <w:rPr>
          <w:sz w:val="24"/>
          <w:szCs w:val="24"/>
          <w:b w:val="1"/>
          <w:bCs w:val="1"/>
          <w:rtl/>
        </w:rPr>
        <w:t xml:space="preserve">
تاج التراجم في طبقات الحنفية،(دار القلم - دمشق،1992،ط 1،ج 1،ص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2026-06-30T09:30:48+03:00</dcterms:created>
  <dcterms:modified xsi:type="dcterms:W3CDTF">2026-06-30T09:30:48+03:00</dcterms:modified>
</cp:coreProperties>
</file>

<file path=docProps/custom.xml><?xml version="1.0" encoding="utf-8"?>
<Properties xmlns="http://schemas.openxmlformats.org/officeDocument/2006/custom-properties" xmlns:vt="http://schemas.openxmlformats.org/officeDocument/2006/docPropsVTypes"/>
</file>