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قاضي خاصة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قاضي خاصة
</w:t>
      </w:r>
    </w:p>
    <w:p>
      <w:pPr/>
      <w:r>
        <w:rPr/>
        <w:t xml:space="preserve">محمود بن قاضي خاصة ومحمود بن قاضي خاصة، الإمام، مجير الإسلام، البخاري.</w:t>
      </w:r>
    </w:p>
    <w:p/>
    <w:p>
      <w:pPr/>
      <w:r>
        <w:rPr/>
        <w:t xml:space="preserve">يقال إنه من ذرية أبي يوسف.</w:t>
      </w:r>
    </w:p>
    <w:p/>
    <w:p>
      <w:pPr/>
      <w:r>
        <w:rPr/>
        <w:t xml:space="preserve">صنف ’’الطريقة’’ في الخلاف.</w:t>
      </w:r>
    </w:p>
    <w:p/>
    <w:p>
      <w:pPr/>
      <w:r>
        <w:rPr/>
        <w:t xml:space="preserve">وكانت وفاته يوم السبت، خامس جمادى الأولى، سنة ست وأربعين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قاضي خاصة
</w:t>
      </w:r>
    </w:p>
    <w:p>
      <w:pPr/>
      <w:r>
        <w:rPr/>
        <w:t xml:space="preserve">ابن قاضي خاصة 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2026-06-30T09:13:20+03:00</dcterms:created>
  <dcterms:modified xsi:type="dcterms:W3CDTF">2026-06-30T09:13:20+03:00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