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صبر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ومحمد بن عبد الرحمن بن صبر، أبو بكر الحنفي الفقيه. ولي القضاء بعسكر المهدي. وعاش ستين سنة.</w:t>
      </w:r>
    </w:p>
    <w:p/>
    <w:p>
      <w:pPr/>
      <w:r>
        <w:rPr/>
        <w:t xml:space="preserve">وكان معتزليا مشهورا به، رأسا في علم الكلام، خبيرا بالتفسير.</w:t>
      </w:r>
    </w:p>
    <w:p/>
    <w:p>
      <w:pPr/>
      <w:r>
        <w:rPr/>
        <w:t xml:space="preserve">وله كتاب في ’’الرد على اليهود’’ وكتاب ’’عمدة الأدلة’’ وكتاب تفسير، وما أتمه.</w:t>
      </w:r>
    </w:p>
    <w:p/>
    <w:p>
      <w:pPr/>
      <w:r>
        <w:rPr/>
        <w:t xml:space="preserve">توفي لعشر بقين من ذي الحجة،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أبو بكر الحنفي الفقيه، صاحب تصانيف، لكنه معتزلي جلد.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2026-06-30T08:18:46+03:00</dcterms:created>
  <dcterms:modified xsi:type="dcterms:W3CDTF">2026-06-30T08:18:46+03:00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