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السمرقندي
</w:t>
      </w:r>
    </w:p>
    <w:p>
      <w:pPr/>
      <w:r>
        <w:rPr/>
        <w:t xml:space="preserve">محمد بن أحمد السمرقندي ومحمد بن أحمد بن أبي أحمد، الإمام، علاء الدين، أبو منصور، السمرقندي.</w:t>
      </w:r>
    </w:p>
    <w:p/>
    <w:p>
      <w:pPr/>
      <w:r>
        <w:rPr/>
        <w:t xml:space="preserve">تفقه عليه الإمام أبو بكر بن مسعود الكاساني، وغيره.</w:t>
      </w:r>
    </w:p>
    <w:p/>
    <w:p>
      <w:pPr/>
      <w:r>
        <w:rPr/>
        <w:t xml:space="preserve">وله كتاب ’’تحفة الفقهاء’’ واللباب في الأصول، وغير ذلك.</w:t>
      </w:r>
    </w:p>
    <w:p/>
    <w:p>
      <w:pPr/>
      <w:r>
        <w:rPr/>
        <w:t xml:space="preserve">وذكر عبد القادر شخصا آخر وعزا له ’’اللباب’’.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2026-06-30T07:13:27+03:00</dcterms:created>
  <dcterms:modified xsi:type="dcterms:W3CDTF">2026-06-30T07:13:27+03:00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