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الكعبي
</w:t>
      </w:r>
    </w:p>
    <w:p>
      <w:pPr/>
      <w:r>
        <w:rPr/>
        <w:t xml:space="preserve">محمد بن أحمد، الكعبي محمد بن أحمد بن أبي سعيد أحمد بن أبي الخطاب محمد بن إبراهيم بن علي الكعبي، الطبري، القاضي، البخاري.</w:t>
      </w:r>
    </w:p>
    <w:p/>
    <w:p>
      <w:pPr/>
      <w:r>
        <w:rPr/>
        <w:t xml:space="preserve">مات ببخارى سنة أربع وستمائة.</w:t>
      </w:r>
    </w:p>
    <w:p/>
    <w:p>
      <w:pPr/>
      <w:r>
        <w:rPr/>
        <w:t xml:space="preserve">له ’’الملخص’’في الفتاوى.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2026-06-30T07:12:19+03:00</dcterms:created>
  <dcterms:modified xsi:type="dcterms:W3CDTF">2026-06-30T07:12:19+03:00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