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امرؤ القيس الأول
</w:t>
      </w:r>
    </w:p>
    <w:p>
      <w:pPr>
        <w:jc w:val="start"/>
        <w:bidi/>
      </w:pPr>
      <w:r>
        <w:rPr>
          <w:rFonts w:ascii="arial" w:hAnsi="arial" w:eastAsia="arial" w:cs="arial"/>
          <w:sz w:val="28"/>
          <w:szCs w:val="28"/>
          <w:b w:val="1"/>
          <w:bCs w:val="1"/>
          <w:rtl/>
        </w:rPr>
        <w:t xml:space="preserve">امرؤ القيس الأول
</w:t>
      </w:r>
    </w:p>
    <w:p>
      <w:pPr/>
      <w:r>
        <w:rPr/>
        <w:t xml:space="preserve">امرؤ القيس الأول  امرؤ القيس بن عمرو بننصر اللخمي، من قحطان: ثاني ملوك الدولة اللخمية في العراق. ولى بعد موت أبيه. وكان عاقلا شجاعا مهيبا اتسع ملكهوخافته القبائل. ولقب بملك العرب. ولبس التاج (وكان يصنع من الخرز) واستمر ملكه 35 سنة. وهو اول من تنصر من ملوك هذه الدولة (عمال الفرس بالعراق) وعرفه حمزة وابن خلدون بامرئ القيس البدء - يعني الاول - ومات بحوران (في سورية) واكتشف قبره في عهد قريب في غار بالصفاة وعليه كتابة بالحرف النبطي الجميل، وهي اقدم كتابة وجدت تقرب لهجتها من عربية قريش، وتاريخ وفاته فيها (7 كسلول من السنة 223 لبصري) وهو يولفق 7 ديسمبر 328 للميلاد</w:t>
      </w:r>
    </w:p>
    <w:p>
      <w:pPr>
        <w:jc w:val="start"/>
        <w:bidi/>
      </w:pPr>
      <w:r>
        <w:rPr>
          <w:sz w:val="24"/>
          <w:szCs w:val="24"/>
          <w:b w:val="1"/>
          <w:bCs w:val="1"/>
          <w:rtl/>
        </w:rPr>
        <w:t xml:space="preserve">
الأعلام،(دار العلم للملايين - بيروت،2002،ط 15،ج 2،ص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2026-07-05T17:55:34+03:00</dcterms:created>
  <dcterms:modified xsi:type="dcterms:W3CDTF">2026-07-05T17:55:34+03:00</dcterms:modified>
</cp:coreProperties>
</file>

<file path=docProps/custom.xml><?xml version="1.0" encoding="utf-8"?>
<Properties xmlns="http://schemas.openxmlformats.org/officeDocument/2006/custom-properties" xmlns:vt="http://schemas.openxmlformats.org/officeDocument/2006/docPropsVTypes"/>
</file>