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موسى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موسى القمي
</w:t>
      </w:r>
    </w:p>
    <w:p>
      <w:pPr/>
      <w:r>
        <w:rPr/>
        <w:t xml:space="preserve">علي بن موسى القمي علي بن موسى بن يزداد-وقيل: يزيد- القمي.</w:t>
      </w:r>
    </w:p>
    <w:p/>
    <w:p>
      <w:pPr/>
      <w:r>
        <w:rPr/>
        <w:t xml:space="preserve">سمع محمد بن حميد الرازي وغيره.</w:t>
      </w:r>
    </w:p>
    <w:p/>
    <w:p>
      <w:pPr/>
      <w:r>
        <w:rPr/>
        <w:t xml:space="preserve">توفي سنة خمس وثلاثمائة.</w:t>
      </w:r>
    </w:p>
    <w:p/>
    <w:p>
      <w:pPr/>
      <w:r>
        <w:rPr/>
        <w:t xml:space="preserve">له كتاب ’’أحكام القرآن’’ وكتب في الرد على أصحاب الشافعي.</w:t>
      </w:r>
    </w:p>
    <w:p/>
    <w:p>
      <w:pPr/>
      <w:r>
        <w:rPr/>
        <w:t xml:space="preserve">قلت: وذكر له أبو إسحاق كتاب’’إثبات القياس والاجتهاد وخبر الواحد’’.</w:t>
      </w:r>
    </w:p>
    <w:p/>
    <w:p>
      <w:pPr/>
      <w:r>
        <w:rPr/>
        <w:t xml:space="preserve">وقال الذهبي: له مصنفات. وهو إمام أهل الرأي بلا مدافعة في عصره. روى عنه أبو بكر أحمد بن سعد بن نصر، وأحمد بن أحيد الكاغدي، وآخرون. وتخرج به جماعة من الكبار.</w:t>
      </w:r>
    </w:p>
    <w:p/>
    <w:p>
      <w:pPr/>
      <w:r>
        <w:rPr/>
        <w:t xml:space="preserve">وأملى بنسابور، وحدث بمصنفاته.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موسى القمي
</w:t>
      </w:r>
    </w:p>
    <w:p>
      <w:pPr/>
      <w:r>
        <w:rPr/>
        <w:t xml:space="preserve">علي بن موسى القمي وله كتب في الرد على أصحاب الشافعي.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2026-06-30T06:05:06+03:00</dcterms:created>
  <dcterms:modified xsi:type="dcterms:W3CDTF">2026-06-30T06:05:06+03:00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