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سودكين النوري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سودكين النوري
</w:t>
      </w:r>
    </w:p>
    <w:p>
      <w:pPr/>
      <w:r>
        <w:rPr/>
        <w:t xml:space="preserve">إسماعيل بن سودكين النوري إسماعيل المتكلم، قاضي القضاة.</w:t>
      </w:r>
    </w:p>
    <w:p/>
    <w:p>
      <w:pPr/>
      <w:r>
        <w:rPr/>
        <w:t xml:space="preserve">له كتاب ’’الصلاة’’ وكتاب’’شرح العمدة’’ وكتاب’’الكافي’’.</w:t>
      </w:r>
    </w:p>
    <w:p/>
    <w:p>
      <w:pPr/>
      <w:r>
        <w:rPr/>
        <w:t xml:space="preserve">قال الذهبي: إسماعيل بن سودكين بن عبد الله، أبو الطاهر، الملكي، النوري، الحنفي، الصوفي، المتكلم.</w:t>
      </w:r>
    </w:p>
    <w:p/>
    <w:p>
      <w:pPr/>
      <w:r>
        <w:rPr/>
        <w:t xml:space="preserve">ولدبالقاهرة سنة تسع وسبعين وخمسمائة.</w:t>
      </w:r>
    </w:p>
    <w:p/>
    <w:p>
      <w:pPr/>
      <w:r>
        <w:rPr/>
        <w:t xml:space="preserve">وسمع من أبي الفضل الغزنوي، وأبي عبد الله الأرتاحي، وسمع بحلب من عبد المطلب، وغيره.</w:t>
      </w:r>
    </w:p>
    <w:p/>
    <w:p>
      <w:pPr/>
      <w:r>
        <w:rPr/>
        <w:t xml:space="preserve">وله نظم جيد، وفضيلة.</w:t>
      </w:r>
    </w:p>
    <w:p/>
    <w:p>
      <w:pPr/>
      <w:r>
        <w:rPr/>
        <w:t xml:space="preserve">روى عنه أبو حفص بن القواس.</w:t>
      </w:r>
    </w:p>
    <w:p/>
    <w:p>
      <w:pPr/>
      <w:r>
        <w:rPr/>
        <w:t xml:space="preserve">مات بحلب في الرابع والعشرين من صفر سنة ست وأربعين وستمائة. وكان أبوه من مماليك السلطان نور الدين محمود.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سودكين بن عبد الله، أبو الطاهر، النوري
</w:t>
      </w:r>
    </w:p>
    <w:p>
      <w:pPr/>
      <w:r>
        <w:rPr/>
        <w:t xml:space="preserve">إسماعيل بن سودكين بن عبد الله، أبو الطاهر، النوري قال في ’’ الجواهر ’’: مولده بالقاهرة سنة ثمان، أو تسع وأربعين وخمسمائة.</w:t>
      </w:r>
    </w:p>
    <w:p/>
    <w:p>
      <w:pPr/>
      <w:r>
        <w:rPr/>
        <w:t xml:space="preserve">وقال الذهبي: سنة تسع وسبعين وخمسمائة.</w:t>
      </w:r>
    </w:p>
    <w:p/>
    <w:p>
      <w:pPr/>
      <w:r>
        <w:rPr/>
        <w:t xml:space="preserve">صحب الشيخ أبا عبد الله محمد بن علي بن العربي مدة، وكتب عنه كثيرا من تصانيفه.</w:t>
      </w:r>
    </w:p>
    <w:p/>
    <w:p>
      <w:pPr/>
      <w:r>
        <w:rPr/>
        <w:t xml:space="preserve">وسمع بمصر من أبي الفضل محمد بن يوسف الغرنوي، وأبي عبد الله محمد بن حامد الأرتاحي، وبحلب من الشريف أبي هاشم عبد المطلب بن [الفضل] الهاشمي.</w:t>
      </w:r>
    </w:p>
    <w:p/>
    <w:p>
      <w:pPr/>
      <w:r>
        <w:rPr/>
        <w:t xml:space="preserve">وحدث، وروى عنه ابن القواس.</w:t>
      </w:r>
    </w:p>
    <w:p/>
    <w:p>
      <w:pPr/>
      <w:r>
        <w:rPr/>
        <w:t xml:space="preserve">وكان فقيها، فاضلا، محدثا، شاعرا، له نظم حسن، وكلام في التصوف.</w:t>
      </w:r>
    </w:p>
    <w:p/>
    <w:p>
      <w:pPr/>
      <w:r>
        <w:rPr/>
        <w:t xml:space="preserve">مات بحلب، سنة ست وأربعين وستمائة.</w:t>
      </w:r>
    </w:p>
    <w:p/>
    <w:p>
      <w:pPr/>
      <w:r>
        <w:rPr/>
        <w:t xml:space="preserve">ويقال له: النوري، لأن أباه كان من مماليك السلطان نور الدين الشهيد.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2026-06-29T02:22:41+03:00</dcterms:created>
  <dcterms:modified xsi:type="dcterms:W3CDTF">2026-06-29T02:22:41+03:00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